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7A8F">
      <w:r>
        <w:t xml:space="preserve">TDM of </w:t>
      </w:r>
      <w:proofErr w:type="spellStart"/>
      <w:r>
        <w:t>Theophylline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5"/>
        <w:gridCol w:w="1675"/>
      </w:tblGrid>
      <w:tr w:rsidR="00717A8F" w:rsidRPr="00717A8F" w:rsidTr="00717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A8F" w:rsidRPr="00717A8F" w:rsidRDefault="00717A8F" w:rsidP="0071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2b3bc0b74d6cb2c_name"/>
            <w:proofErr w:type="spellStart"/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Theophylline</w:t>
            </w:r>
            <w:proofErr w:type="spellEnd"/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</w:t>
            </w:r>
            <w:bookmarkEnd w:id="0"/>
          </w:p>
        </w:tc>
        <w:tc>
          <w:tcPr>
            <w:tcW w:w="0" w:type="auto"/>
            <w:vMerge w:val="restart"/>
            <w:vAlign w:val="center"/>
            <w:hideMark/>
          </w:tcPr>
          <w:p w:rsidR="00717A8F" w:rsidRPr="00717A8F" w:rsidRDefault="00717A8F" w:rsidP="0071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19050" t="0" r="0" b="0"/>
                  <wp:docPr id="1" name="Picture 1" descr="Hom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19050" t="0" r="0" b="0"/>
                  <wp:docPr id="2" name="Picture 2" descr="print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A8F" w:rsidRPr="00717A8F" w:rsidTr="00717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A8F" w:rsidRPr="00717A8F" w:rsidRDefault="00717A8F" w:rsidP="0071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Lab Tests and Diagnostic Procedures</w:t>
            </w:r>
          </w:p>
        </w:tc>
        <w:tc>
          <w:tcPr>
            <w:tcW w:w="0" w:type="auto"/>
            <w:vMerge/>
            <w:vAlign w:val="center"/>
            <w:hideMark/>
          </w:tcPr>
          <w:p w:rsidR="00717A8F" w:rsidRPr="00717A8F" w:rsidRDefault="00717A8F" w:rsidP="0071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7A8F" w:rsidRPr="00717A8F" w:rsidRDefault="00717A8F" w:rsidP="00717A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7A8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87.55pt;height:18.4pt" o:ole="">
            <v:imagedata r:id="rId7" o:title=""/>
          </v:shape>
          <w:control r:id="rId8" w:name="DefaultOcxName" w:shapeid="_x0000_i1055"/>
        </w:object>
      </w:r>
    </w:p>
    <w:p w:rsidR="00717A8F" w:rsidRPr="00717A8F" w:rsidRDefault="00717A8F" w:rsidP="00717A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7A8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3" name="Picture 3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12b3bc0b74d6cb2c_updated"/>
      <w:r w:rsidRPr="00717A8F">
        <w:rPr>
          <w:rFonts w:ascii="Times New Roman" w:eastAsia="Times New Roman" w:hAnsi="Times New Roman" w:cs="Times New Roman"/>
          <w:sz w:val="24"/>
          <w:szCs w:val="24"/>
        </w:rPr>
        <w:t>Content Updated</w:t>
      </w:r>
      <w:bookmarkEnd w:id="1"/>
      <w:r w:rsidRPr="00717A8F">
        <w:rPr>
          <w:rFonts w:ascii="Times New Roman" w:eastAsia="Times New Roman" w:hAnsi="Times New Roman" w:cs="Times New Roman"/>
          <w:sz w:val="24"/>
          <w:szCs w:val="24"/>
        </w:rPr>
        <w:t>2008-12-15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4" name="Picture 4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12b3bc0b74d6cb2c_ovv"/>
      <w:r w:rsidRPr="00717A8F">
        <w:rPr>
          <w:rFonts w:ascii="Times New Roman" w:eastAsia="Times New Roman" w:hAnsi="Times New Roman" w:cs="Times New Roman"/>
          <w:sz w:val="24"/>
          <w:szCs w:val="24"/>
        </w:rPr>
        <w:t>Overview</w:t>
      </w:r>
      <w:bookmarkEnd w:id="2"/>
    </w:p>
    <w:p w:rsidR="00717A8F" w:rsidRPr="00717A8F" w:rsidRDefault="00717A8F" w:rsidP="007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is an older, rarely prescribed, bronchodilator used in the treatment of asthma and chronic obstructive pulmonary disease (COPD). Once commonly prescribed for asthma and COPD, its use has become controversial due to treatment-associated adverse effects including fatal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atrial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and ventricular arrhythmias; however, the slow-release preparations have proven useful in patients with COPD and it is still considered to be a third-line treatment option. (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Fromer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2008) Due to wide variability of pharmacokinetics, a narrow therapeutic window, and dose-related toxic effects, monitoring of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blood levels is recommended.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5" name="Picture 5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12b3bc0b74d6cb2c_use"/>
      <w:r w:rsidRPr="00717A8F">
        <w:rPr>
          <w:rFonts w:ascii="Times New Roman" w:eastAsia="Times New Roman" w:hAnsi="Times New Roman" w:cs="Times New Roman"/>
          <w:sz w:val="24"/>
          <w:szCs w:val="24"/>
        </w:rPr>
        <w:t>Use/Indications</w:t>
      </w:r>
      <w:bookmarkEnd w:id="3"/>
    </w:p>
    <w:p w:rsidR="00717A8F" w:rsidRPr="00717A8F" w:rsidRDefault="00717A8F" w:rsidP="00717A8F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• Assess for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toxicity</w:t>
      </w:r>
    </w:p>
    <w:p w:rsidR="00717A8F" w:rsidRPr="00717A8F" w:rsidRDefault="00717A8F" w:rsidP="00717A8F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• Monitor therapeutic drug level (detect noncompliance and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subtherapeutic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levels)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6" name="Picture 6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12b3bc0b74d6cb2c_spe"/>
      <w:r w:rsidRPr="00717A8F">
        <w:rPr>
          <w:rFonts w:ascii="Times New Roman" w:eastAsia="Times New Roman" w:hAnsi="Times New Roman" w:cs="Times New Roman"/>
          <w:sz w:val="24"/>
          <w:szCs w:val="24"/>
        </w:rPr>
        <w:t>Specimen</w:t>
      </w:r>
      <w:bookmarkEnd w:id="4"/>
    </w:p>
    <w:p w:rsidR="00717A8F" w:rsidRPr="00717A8F" w:rsidRDefault="00717A8F" w:rsidP="007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serum or plasma (0.2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minimum)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7" name="Picture 7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12b3bc0b74d6cb2c_con"/>
      <w:r w:rsidRPr="00717A8F">
        <w:rPr>
          <w:rFonts w:ascii="Times New Roman" w:eastAsia="Times New Roman" w:hAnsi="Times New Roman" w:cs="Times New Roman"/>
          <w:sz w:val="24"/>
          <w:szCs w:val="24"/>
        </w:rPr>
        <w:t>Container</w:t>
      </w:r>
      <w:bookmarkEnd w:id="5"/>
    </w:p>
    <w:p w:rsidR="00717A8F" w:rsidRPr="00717A8F" w:rsidRDefault="00717A8F" w:rsidP="007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Red top tube (no additive tube), serum separator tube, green top (heparin) tube, lavender top (EDTA) tube, gray top (sodium fluoride/potassium oxalate) tube, or blue top (citrate) tube; </w:t>
      </w:r>
      <w:r w:rsidRPr="00717A8F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Container may be methodology/container specific.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8" name="Picture 8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12b3bc0b74d6cb2c_col"/>
      <w:r w:rsidRPr="00717A8F">
        <w:rPr>
          <w:rFonts w:ascii="Times New Roman" w:eastAsia="Times New Roman" w:hAnsi="Times New Roman" w:cs="Times New Roman"/>
          <w:sz w:val="24"/>
          <w:szCs w:val="24"/>
        </w:rPr>
        <w:t>Collection</w:t>
      </w:r>
      <w:bookmarkEnd w:id="6"/>
    </w:p>
    <w:p w:rsidR="00717A8F" w:rsidRPr="00717A8F" w:rsidRDefault="00717A8F" w:rsidP="007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Routine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venipuncture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Centrifuge and separate serum or plasma from cells as soon as possible. "For sustained-release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specimen should be obtained in the middle of the dosing interval, at least 3-5 days after initiation of therapy and at least 2 days after initiation of any factor that might affect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clearance." (NIH, 2007)</w:t>
      </w:r>
    </w:p>
    <w:p w:rsidR="00717A8F" w:rsidRPr="00717A8F" w:rsidRDefault="00717A8F" w:rsidP="00717A8F">
      <w:pPr>
        <w:spacing w:before="48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>Time to peak serum concentration:</w:t>
      </w:r>
    </w:p>
    <w:p w:rsidR="00717A8F" w:rsidRPr="00717A8F" w:rsidRDefault="00717A8F" w:rsidP="00717A8F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• Oral: 1 hour </w:t>
      </w:r>
    </w:p>
    <w:p w:rsidR="00717A8F" w:rsidRPr="00717A8F" w:rsidRDefault="00717A8F" w:rsidP="00717A8F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Extended-release capsules and tablets: 4-7 hours; in overdoses up to 27 hours 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9" name="Picture 9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" w:name="12b3bc0b74d6cb2c_sti"/>
      <w:r w:rsidRPr="00717A8F">
        <w:rPr>
          <w:rFonts w:ascii="Times New Roman" w:eastAsia="Times New Roman" w:hAnsi="Times New Roman" w:cs="Times New Roman"/>
          <w:sz w:val="24"/>
          <w:szCs w:val="24"/>
        </w:rPr>
        <w:t>Storage Instructions</w:t>
      </w:r>
      <w:bookmarkEnd w:id="7"/>
    </w:p>
    <w:p w:rsidR="00717A8F" w:rsidRPr="00717A8F" w:rsidRDefault="00717A8F" w:rsidP="007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>Refrigerate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10" name="Picture 10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" w:name="12b3bc0b74d6cb2c_met"/>
      <w:r w:rsidRPr="00717A8F">
        <w:rPr>
          <w:rFonts w:ascii="Times New Roman" w:eastAsia="Times New Roman" w:hAnsi="Times New Roman" w:cs="Times New Roman"/>
          <w:sz w:val="24"/>
          <w:szCs w:val="24"/>
        </w:rPr>
        <w:t>Methodology</w:t>
      </w:r>
      <w:bookmarkEnd w:id="8"/>
    </w:p>
    <w:p w:rsidR="00717A8F" w:rsidRPr="00717A8F" w:rsidRDefault="00717A8F" w:rsidP="007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>Fluorescence polarization immunoassay (FPIA); enzyme immunoassay (EIA); high performance liquid chromatography (HPLC); gas chromatography (GC)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11" name="Picture 11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" w:name="12b3bc0b74d6cb2c_nof"/>
      <w:r w:rsidRPr="00717A8F">
        <w:rPr>
          <w:rFonts w:ascii="Times New Roman" w:eastAsia="Times New Roman" w:hAnsi="Times New Roman" w:cs="Times New Roman"/>
          <w:sz w:val="24"/>
          <w:szCs w:val="24"/>
        </w:rPr>
        <w:t>Normal Values/Findings</w:t>
      </w:r>
      <w:bookmarkEnd w:id="9"/>
    </w:p>
    <w:p w:rsidR="00717A8F" w:rsidRPr="00717A8F" w:rsidRDefault="00717A8F" w:rsidP="007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Asthma: 5-15 </w:t>
      </w:r>
      <w:proofErr w:type="spellStart"/>
      <w:proofErr w:type="gramStart"/>
      <w:r w:rsidRPr="00717A8F"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proofErr w:type="gram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17A8F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Laboratory/methodology/patient demographics specific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12" name="Picture 12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0" w:name="12b3bc0b74d6cb2c_crv"/>
      <w:r w:rsidRPr="00717A8F">
        <w:rPr>
          <w:rFonts w:ascii="Times New Roman" w:eastAsia="Times New Roman" w:hAnsi="Times New Roman" w:cs="Times New Roman"/>
          <w:sz w:val="24"/>
          <w:szCs w:val="24"/>
        </w:rPr>
        <w:t>Critical Values</w:t>
      </w:r>
      <w:bookmarkEnd w:id="10"/>
    </w:p>
    <w:p w:rsidR="00717A8F" w:rsidRPr="00717A8F" w:rsidRDefault="00717A8F" w:rsidP="00717A8F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• &gt;20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; toxicity can take place at 15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mL.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7A8F" w:rsidRPr="00717A8F" w:rsidRDefault="00717A8F" w:rsidP="00717A8F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• Chronic seizures: 30-50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</w:p>
    <w:p w:rsidR="00717A8F" w:rsidRPr="00717A8F" w:rsidRDefault="00717A8F" w:rsidP="00717A8F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>• Acute toxicity seizures and malignant arrhythmias: &gt;</w:t>
      </w:r>
      <w:proofErr w:type="gramStart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proofErr w:type="gramEnd"/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13" name="Picture 13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1" w:name="12b3bc0b74d6cb2c_lab-diag-pearls"/>
      <w:r w:rsidRPr="00717A8F">
        <w:rPr>
          <w:rFonts w:ascii="Times New Roman" w:eastAsia="Times New Roman" w:hAnsi="Times New Roman" w:cs="Times New Roman"/>
          <w:sz w:val="24"/>
          <w:szCs w:val="24"/>
        </w:rPr>
        <w:t>Laboratory/Diagnostic Pearls</w:t>
      </w:r>
      <w:bookmarkEnd w:id="11"/>
    </w:p>
    <w:p w:rsidR="00717A8F" w:rsidRPr="00717A8F" w:rsidRDefault="00717A8F" w:rsidP="00717A8F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• Several studies have questioned the correlation between the blood concentration and toxic effect of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Aitken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1987)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may cause sinus tachycardia even at therapeutic serum concentrations. (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Bittar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>, 1991) Levels should be interpreted in light of the patient's clinical status and use of other medications.</w:t>
      </w:r>
    </w:p>
    <w:p w:rsidR="00717A8F" w:rsidRPr="00717A8F" w:rsidRDefault="00717A8F" w:rsidP="0071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6840" cy="127635"/>
            <wp:effectExtent l="19050" t="0" r="0" b="0"/>
            <wp:docPr id="14" name="Picture 14" descr="top">
              <a:hlinkClick xmlns:a="http://schemas.openxmlformats.org/drawingml/2006/main" r:id="rId9" tgtFrame="&quot;_blank&quot;" tooltip="&quot;jump to top of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p">
                      <a:hlinkClick r:id="rId9" tgtFrame="&quot;_blank&quot;" tooltip="&quot;jump to top of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2" w:name="12b3bc0b74d6cb2c_adi"/>
      <w:r w:rsidRPr="00717A8F">
        <w:rPr>
          <w:rFonts w:ascii="Times New Roman" w:eastAsia="Times New Roman" w:hAnsi="Times New Roman" w:cs="Times New Roman"/>
          <w:sz w:val="24"/>
          <w:szCs w:val="24"/>
        </w:rPr>
        <w:t>Additional Information</w:t>
      </w:r>
      <w:bookmarkEnd w:id="12"/>
    </w:p>
    <w:p w:rsidR="00717A8F" w:rsidRPr="00717A8F" w:rsidRDefault="00717A8F" w:rsidP="007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half-life varies between individuals. See table.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3071"/>
      </w:tblGrid>
      <w:tr w:rsidR="00717A8F" w:rsidRPr="00717A8F" w:rsidTr="00717A8F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A8F" w:rsidRPr="00717A8F" w:rsidRDefault="00717A8F" w:rsidP="0071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Theophylline</w:t>
            </w:r>
            <w:proofErr w:type="spellEnd"/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Half-Life</w:t>
            </w:r>
          </w:p>
        </w:tc>
      </w:tr>
      <w:tr w:rsidR="00717A8F" w:rsidRPr="00717A8F" w:rsidTr="00717A8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Half-life</w:t>
            </w:r>
          </w:p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 Population</w:t>
            </w:r>
          </w:p>
        </w:tc>
      </w:tr>
      <w:tr w:rsidR="00717A8F" w:rsidRPr="00717A8F" w:rsidTr="00717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Normal healthy adults</w:t>
            </w:r>
          </w:p>
        </w:tc>
      </w:tr>
      <w:tr w:rsidR="00717A8F" w:rsidRPr="00717A8F" w:rsidTr="00717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</w:p>
        </w:tc>
      </w:tr>
      <w:tr w:rsidR="00717A8F" w:rsidRPr="00717A8F" w:rsidTr="00717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15-58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Premature infants</w:t>
            </w:r>
          </w:p>
        </w:tc>
      </w:tr>
      <w:tr w:rsidR="00717A8F" w:rsidRPr="00717A8F" w:rsidTr="00717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Severe congestive heart failure</w:t>
            </w:r>
          </w:p>
        </w:tc>
      </w:tr>
      <w:tr w:rsidR="00717A8F" w:rsidRPr="00717A8F" w:rsidTr="00717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A8F" w:rsidRPr="00717A8F" w:rsidRDefault="00717A8F" w:rsidP="00717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Cirrhosis</w:t>
            </w:r>
          </w:p>
        </w:tc>
      </w:tr>
    </w:tbl>
    <w:p w:rsidR="00717A8F" w:rsidRPr="00717A8F" w:rsidRDefault="00717A8F" w:rsidP="00717A8F">
      <w:pPr>
        <w:spacing w:before="48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Changes in diet may affect the elimination of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Allopurinol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amiodarone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cimetidine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ciprofloxacin, and erythromycin may </w:t>
      </w:r>
      <w:r w:rsidRPr="00717A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increase</w:t>
      </w: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concentrations. </w:t>
      </w:r>
    </w:p>
    <w:p w:rsidR="00717A8F" w:rsidRPr="00717A8F" w:rsidRDefault="00717A8F" w:rsidP="00717A8F">
      <w:pPr>
        <w:spacing w:before="48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Aminoglutethimide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carbamazepine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phenobarbital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phenytoin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protease inhibitors,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rifampin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, and thyroid products may </w:t>
      </w:r>
      <w:r w:rsidRPr="00717A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decrease</w:t>
      </w:r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A8F">
        <w:rPr>
          <w:rFonts w:ascii="Times New Roman" w:eastAsia="Times New Roman" w:hAnsi="Times New Roman" w:cs="Times New Roman"/>
          <w:sz w:val="24"/>
          <w:szCs w:val="24"/>
        </w:rPr>
        <w:t>theophylline</w:t>
      </w:r>
      <w:proofErr w:type="spellEnd"/>
      <w:r w:rsidRPr="00717A8F">
        <w:rPr>
          <w:rFonts w:ascii="Times New Roman" w:eastAsia="Times New Roman" w:hAnsi="Times New Roman" w:cs="Times New Roman"/>
          <w:sz w:val="24"/>
          <w:szCs w:val="24"/>
        </w:rPr>
        <w:t xml:space="preserve"> concentrations.</w:t>
      </w:r>
    </w:p>
    <w:p w:rsidR="00717A8F" w:rsidRDefault="00717A8F"/>
    <w:sectPr w:rsidR="00717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17A8F"/>
    <w:rsid w:val="0071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17A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7A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7A8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7A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7A8F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1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hyperlink" Target="http://online.lexi.com/crlsql/servlet/crlonline?a=doc&amp;bi=51&amp;id=382869" TargetMode="External"/><Relationship Id="rId9" Type="http://schemas.openxmlformats.org/officeDocument/2006/relationships/hyperlink" Target="http://online.lexi.com/crlsql/servlet/crlonline?a=doc&amp;bi=51&amp;id=382869#top-of-pag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Krunal</dc:creator>
  <cp:keywords/>
  <dc:description/>
  <cp:lastModifiedBy>Krunal</cp:lastModifiedBy>
  <cp:revision>2</cp:revision>
  <dcterms:created xsi:type="dcterms:W3CDTF">2010-10-03T17:17:00Z</dcterms:created>
  <dcterms:modified xsi:type="dcterms:W3CDTF">2010-10-03T17:22:00Z</dcterms:modified>
</cp:coreProperties>
</file>