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2C" w:rsidRPr="002A5960" w:rsidRDefault="004C6C0A" w:rsidP="00B52EC7">
      <w:pPr>
        <w:spacing w:line="360" w:lineRule="auto"/>
        <w:jc w:val="both"/>
        <w:rPr>
          <w:rFonts w:cstheme="minorHAnsi"/>
          <w:b/>
        </w:rPr>
      </w:pPr>
      <w:r w:rsidRPr="002A5960">
        <w:rPr>
          <w:rFonts w:cstheme="minorHAnsi"/>
          <w:b/>
        </w:rPr>
        <w:t>Introduction:</w:t>
      </w:r>
    </w:p>
    <w:p w:rsidR="004C6C0A" w:rsidRPr="002A5960" w:rsidRDefault="009830AC" w:rsidP="00B52EC7">
      <w:pPr>
        <w:spacing w:line="360" w:lineRule="auto"/>
        <w:jc w:val="both"/>
        <w:rPr>
          <w:rFonts w:cstheme="minorHAnsi"/>
          <w:b/>
        </w:rPr>
      </w:pPr>
      <w:r w:rsidRPr="002A5960">
        <w:rPr>
          <w:rFonts w:cstheme="minorHAnsi"/>
        </w:rPr>
        <w:t xml:space="preserve"> </w:t>
      </w:r>
      <w:r w:rsidRPr="002A5960">
        <w:rPr>
          <w:rFonts w:cstheme="minorHAnsi"/>
          <w:bCs/>
        </w:rPr>
        <w:t>Lidocaine</w:t>
      </w:r>
      <w:r w:rsidRPr="002A5960">
        <w:rPr>
          <w:rFonts w:cstheme="minorHAnsi"/>
        </w:rPr>
        <w:t xml:space="preserve"> or </w:t>
      </w:r>
      <w:r w:rsidRPr="002A5960">
        <w:rPr>
          <w:rFonts w:cstheme="minorHAnsi"/>
          <w:bCs/>
        </w:rPr>
        <w:t>lignocaine</w:t>
      </w:r>
      <w:r w:rsidRPr="002A5960">
        <w:rPr>
          <w:rFonts w:cstheme="minorHAnsi"/>
        </w:rPr>
        <w:t xml:space="preserve"> is a common local anesthetic and antiarrhythmic drug. Lidocaine is used topically to relieve itching, burning and pain from skin inflammations, injected as a dental anesthetic or as a local anesthetic for minor surgery. Higher serum concentrations of local anesthetics cause cardiovascular effects.</w:t>
      </w:r>
      <w:r w:rsidR="003155AF" w:rsidRPr="002A5960">
        <w:rPr>
          <w:rFonts w:cstheme="minorHAnsi"/>
          <w:b/>
        </w:rPr>
        <w:t xml:space="preserve"> </w:t>
      </w:r>
      <w:r w:rsidR="004C6C0A" w:rsidRPr="002A5960">
        <w:rPr>
          <w:rFonts w:eastAsia="Times-Roman" w:cstheme="minorHAnsi"/>
        </w:rPr>
        <w:t>Therefore, it i</w:t>
      </w:r>
      <w:r w:rsidRPr="002A5960">
        <w:rPr>
          <w:rFonts w:eastAsia="Times-Roman" w:cstheme="minorHAnsi"/>
        </w:rPr>
        <w:t>s essential for monitoring such</w:t>
      </w:r>
      <w:r w:rsidR="004C6C0A" w:rsidRPr="002A5960">
        <w:rPr>
          <w:rFonts w:eastAsia="Times-Roman" w:cstheme="minorHAnsi"/>
        </w:rPr>
        <w:t xml:space="preserve"> drugs</w:t>
      </w:r>
    </w:p>
    <w:p w:rsidR="00077B2A" w:rsidRPr="002A5960" w:rsidRDefault="00077B2A" w:rsidP="00B52EC7">
      <w:pPr>
        <w:autoSpaceDE w:val="0"/>
        <w:autoSpaceDN w:val="0"/>
        <w:adjustRightInd w:val="0"/>
        <w:spacing w:after="0" w:line="360" w:lineRule="auto"/>
        <w:jc w:val="both"/>
        <w:rPr>
          <w:rFonts w:eastAsia="Times-Roman" w:cstheme="minorHAnsi"/>
        </w:rPr>
      </w:pPr>
    </w:p>
    <w:p w:rsidR="004C6C0A" w:rsidRPr="002A5960" w:rsidRDefault="00077B2A" w:rsidP="00B52EC7">
      <w:pPr>
        <w:autoSpaceDE w:val="0"/>
        <w:autoSpaceDN w:val="0"/>
        <w:adjustRightInd w:val="0"/>
        <w:spacing w:after="0" w:line="360" w:lineRule="auto"/>
        <w:jc w:val="both"/>
        <w:rPr>
          <w:rFonts w:eastAsia="Times-Roman" w:cstheme="minorHAnsi"/>
          <w:b/>
        </w:rPr>
      </w:pPr>
      <w:r w:rsidRPr="002A5960">
        <w:rPr>
          <w:rFonts w:eastAsia="Times-Roman" w:cstheme="minorHAnsi"/>
          <w:b/>
        </w:rPr>
        <w:t>Indications:</w:t>
      </w:r>
    </w:p>
    <w:p w:rsidR="00D6187A" w:rsidRPr="002A5960" w:rsidRDefault="00D6187A" w:rsidP="00B52EC7">
      <w:pPr>
        <w:spacing w:line="360" w:lineRule="auto"/>
        <w:jc w:val="both"/>
        <w:rPr>
          <w:rFonts w:cstheme="minorHAnsi"/>
        </w:rPr>
      </w:pPr>
      <w:r w:rsidRPr="002A5960">
        <w:rPr>
          <w:rFonts w:cstheme="minorHAnsi"/>
        </w:rPr>
        <w:t xml:space="preserve">Local and regional </w:t>
      </w:r>
      <w:r w:rsidR="003155AF" w:rsidRPr="002A5960">
        <w:rPr>
          <w:rFonts w:cstheme="minorHAnsi"/>
        </w:rPr>
        <w:t>anaesthesia</w:t>
      </w:r>
      <w:r w:rsidRPr="002A5960">
        <w:rPr>
          <w:rFonts w:cstheme="minorHAnsi"/>
        </w:rPr>
        <w:t xml:space="preserve"> by infiltration, nerve block, epidural, or spinal techniques; acute treatment of ventricular arrhythmias from myocardial infarction or cardiac manipulation </w:t>
      </w:r>
    </w:p>
    <w:p w:rsidR="00D6187A" w:rsidRPr="002A5960" w:rsidRDefault="00D6187A" w:rsidP="00B52EC7">
      <w:pPr>
        <w:pStyle w:val="mmpara"/>
        <w:spacing w:line="360" w:lineRule="auto"/>
        <w:jc w:val="both"/>
        <w:rPr>
          <w:rFonts w:asciiTheme="minorHAnsi" w:hAnsiTheme="minorHAnsi" w:cstheme="minorHAnsi"/>
          <w:sz w:val="22"/>
          <w:szCs w:val="22"/>
        </w:rPr>
      </w:pPr>
      <w:bookmarkStart w:id="0" w:name=""/>
      <w:r w:rsidRPr="002A5960">
        <w:rPr>
          <w:rFonts w:asciiTheme="minorHAnsi" w:hAnsiTheme="minorHAnsi" w:cstheme="minorHAnsi"/>
          <w:sz w:val="22"/>
          <w:szCs w:val="22"/>
        </w:rPr>
        <w:t>Ophthalmic: To provide local anesthesia to ocular surface during ophthalmologic procedures</w:t>
      </w:r>
    </w:p>
    <w:p w:rsidR="00D6187A" w:rsidRPr="002A5960" w:rsidRDefault="00D6187A" w:rsidP="00B52EC7">
      <w:pPr>
        <w:pStyle w:val="mmpara"/>
        <w:spacing w:line="360" w:lineRule="auto"/>
        <w:jc w:val="both"/>
        <w:rPr>
          <w:rFonts w:asciiTheme="minorHAnsi" w:hAnsiTheme="minorHAnsi" w:cstheme="minorHAnsi"/>
          <w:sz w:val="22"/>
          <w:szCs w:val="22"/>
        </w:rPr>
      </w:pPr>
      <w:r w:rsidRPr="002A5960">
        <w:rPr>
          <w:rFonts w:asciiTheme="minorHAnsi" w:hAnsiTheme="minorHAnsi" w:cstheme="minorHAnsi"/>
          <w:sz w:val="22"/>
          <w:szCs w:val="22"/>
        </w:rPr>
        <w:t>Rectal: Temporary relief of pain and itching due to anorectal disorders</w:t>
      </w:r>
    </w:p>
    <w:p w:rsidR="00D6187A" w:rsidRPr="002A5960" w:rsidRDefault="00D6187A" w:rsidP="00B52EC7">
      <w:pPr>
        <w:pStyle w:val="mmpara"/>
        <w:spacing w:line="360" w:lineRule="auto"/>
        <w:jc w:val="both"/>
        <w:rPr>
          <w:rFonts w:asciiTheme="minorHAnsi" w:hAnsiTheme="minorHAnsi" w:cstheme="minorHAnsi"/>
          <w:sz w:val="22"/>
          <w:szCs w:val="22"/>
        </w:rPr>
      </w:pPr>
      <w:r w:rsidRPr="002A5960">
        <w:rPr>
          <w:rFonts w:asciiTheme="minorHAnsi" w:hAnsiTheme="minorHAnsi" w:cstheme="minorHAnsi"/>
          <w:sz w:val="22"/>
          <w:szCs w:val="22"/>
        </w:rPr>
        <w:t>Topical: Local anesthetic for oral muscous membrane; use in laser/cosmetic surgeries; minor burns, cuts, and abrasions of the skin</w:t>
      </w:r>
    </w:p>
    <w:p w:rsidR="00D6187A" w:rsidRPr="002A5960" w:rsidRDefault="00D6187A" w:rsidP="00B52EC7">
      <w:pPr>
        <w:pStyle w:val="mmpara"/>
        <w:spacing w:line="360" w:lineRule="auto"/>
        <w:jc w:val="both"/>
        <w:rPr>
          <w:rFonts w:asciiTheme="minorHAnsi" w:hAnsiTheme="minorHAnsi" w:cstheme="minorHAnsi"/>
          <w:sz w:val="22"/>
          <w:szCs w:val="22"/>
        </w:rPr>
      </w:pPr>
      <w:r w:rsidRPr="002A5960">
        <w:rPr>
          <w:rFonts w:asciiTheme="minorHAnsi" w:hAnsiTheme="minorHAnsi" w:cstheme="minorHAnsi"/>
          <w:sz w:val="22"/>
          <w:szCs w:val="22"/>
        </w:rPr>
        <w:t>Oral solution (viscous): Topical anesthesia of irritated oral mucous membranes and pharyngeal tissue</w:t>
      </w:r>
    </w:p>
    <w:bookmarkEnd w:id="0"/>
    <w:p w:rsidR="002D2AC8" w:rsidRPr="002A5960" w:rsidRDefault="00C928B3" w:rsidP="00B52EC7">
      <w:pPr>
        <w:pStyle w:val="mmpara"/>
        <w:spacing w:line="360" w:lineRule="auto"/>
        <w:jc w:val="both"/>
        <w:rPr>
          <w:rFonts w:asciiTheme="minorHAnsi" w:hAnsiTheme="minorHAnsi" w:cstheme="minorHAnsi"/>
          <w:sz w:val="22"/>
          <w:szCs w:val="22"/>
        </w:rPr>
      </w:pPr>
      <w:r w:rsidRPr="002A5960">
        <w:rPr>
          <w:rFonts w:asciiTheme="minorHAnsi" w:hAnsiTheme="minorHAnsi" w:cstheme="minorHAnsi"/>
          <w:sz w:val="22"/>
          <w:szCs w:val="22"/>
        </w:rPr>
        <w:t xml:space="preserve">Patch </w:t>
      </w:r>
      <w:r w:rsidR="00D6187A" w:rsidRPr="002A5960">
        <w:rPr>
          <w:rFonts w:asciiTheme="minorHAnsi" w:hAnsiTheme="minorHAnsi" w:cstheme="minorHAnsi"/>
          <w:sz w:val="22"/>
          <w:szCs w:val="22"/>
        </w:rPr>
        <w:t>: Relief of allodynia (painful hypersensitivity) and chronic pain in postherpetic neuralgia</w:t>
      </w:r>
    </w:p>
    <w:p w:rsidR="004F1BD7" w:rsidRPr="002A5960" w:rsidRDefault="002F7C58" w:rsidP="00B52EC7">
      <w:pPr>
        <w:autoSpaceDE w:val="0"/>
        <w:autoSpaceDN w:val="0"/>
        <w:adjustRightInd w:val="0"/>
        <w:spacing w:after="0" w:line="360" w:lineRule="auto"/>
        <w:jc w:val="both"/>
        <w:rPr>
          <w:rFonts w:eastAsia="Times-Roman" w:cstheme="minorHAnsi"/>
          <w:b/>
        </w:rPr>
      </w:pPr>
      <w:r w:rsidRPr="002A5960">
        <w:rPr>
          <w:rFonts w:eastAsia="Times-Roman" w:cstheme="minorHAnsi"/>
          <w:b/>
        </w:rPr>
        <w:t>Pharmacodynamics/Kinetics:</w:t>
      </w:r>
    </w:p>
    <w:p w:rsidR="002F7C58" w:rsidRPr="002A5960" w:rsidRDefault="00FD2A40" w:rsidP="00B52EC7">
      <w:pPr>
        <w:autoSpaceDE w:val="0"/>
        <w:autoSpaceDN w:val="0"/>
        <w:adjustRightInd w:val="0"/>
        <w:spacing w:after="0" w:line="360" w:lineRule="auto"/>
        <w:jc w:val="both"/>
        <w:rPr>
          <w:rFonts w:eastAsia="Times-Roman" w:cstheme="minorHAnsi"/>
          <w:b/>
        </w:rPr>
      </w:pPr>
      <w:r w:rsidRPr="002A5960">
        <w:rPr>
          <w:rFonts w:eastAsia="Times-Roman" w:cstheme="minorHAnsi"/>
        </w:rPr>
        <w:t xml:space="preserve">Absorption: </w:t>
      </w:r>
      <w:r w:rsidR="002F7C58" w:rsidRPr="002A5960">
        <w:rPr>
          <w:rFonts w:eastAsia="Times-Roman" w:cstheme="minorHAnsi"/>
        </w:rPr>
        <w:t xml:space="preserve"> </w:t>
      </w:r>
    </w:p>
    <w:p w:rsidR="002F7C58" w:rsidRPr="002A5960" w:rsidRDefault="002F7C58" w:rsidP="00B52EC7">
      <w:pPr>
        <w:autoSpaceDE w:val="0"/>
        <w:autoSpaceDN w:val="0"/>
        <w:adjustRightInd w:val="0"/>
        <w:spacing w:after="0" w:line="360" w:lineRule="auto"/>
        <w:jc w:val="both"/>
        <w:rPr>
          <w:rFonts w:eastAsia="Times-Roman" w:cstheme="minorHAnsi"/>
        </w:rPr>
      </w:pPr>
      <w:r w:rsidRPr="002A5960">
        <w:rPr>
          <w:rFonts w:eastAsia="Times-Roman" w:cstheme="minorHAnsi"/>
        </w:rPr>
        <w:t xml:space="preserve">Distribution: </w:t>
      </w:r>
      <w:r w:rsidR="00FD2A40" w:rsidRPr="002A5960">
        <w:rPr>
          <w:rFonts w:eastAsia="Times-Roman" w:cstheme="minorHAnsi"/>
        </w:rPr>
        <w:t xml:space="preserve">Vd: </w:t>
      </w:r>
      <w:r w:rsidR="00FD2A40" w:rsidRPr="002A5960">
        <w:rPr>
          <w:rFonts w:cstheme="minorHAnsi"/>
        </w:rPr>
        <w:t>1.1-2.1 L/kg; alterable by many patient factors; decreased in CHF and liver disease; crosses blood-brain barrier</w:t>
      </w:r>
    </w:p>
    <w:p w:rsidR="002F7C58" w:rsidRPr="002A5960" w:rsidRDefault="002F7C58" w:rsidP="00B52EC7">
      <w:pPr>
        <w:autoSpaceDE w:val="0"/>
        <w:autoSpaceDN w:val="0"/>
        <w:adjustRightInd w:val="0"/>
        <w:spacing w:after="0" w:line="360" w:lineRule="auto"/>
        <w:jc w:val="both"/>
        <w:rPr>
          <w:rFonts w:eastAsia="Times-Roman" w:cstheme="minorHAnsi"/>
        </w:rPr>
      </w:pPr>
      <w:r w:rsidRPr="002A5960">
        <w:rPr>
          <w:rFonts w:eastAsia="Times-Roman" w:cstheme="minorHAnsi"/>
        </w:rPr>
        <w:t>P</w:t>
      </w:r>
      <w:r w:rsidR="00FD2A40" w:rsidRPr="002A5960">
        <w:rPr>
          <w:rFonts w:eastAsia="Times-Roman" w:cstheme="minorHAnsi"/>
        </w:rPr>
        <w:t xml:space="preserve">rotein binding: </w:t>
      </w:r>
      <w:r w:rsidR="00FD2A40" w:rsidRPr="002A5960">
        <w:rPr>
          <w:rFonts w:cstheme="minorHAnsi"/>
        </w:rPr>
        <w:t>60% to 80% to alpha</w:t>
      </w:r>
      <w:r w:rsidR="00FD2A40" w:rsidRPr="002A5960">
        <w:rPr>
          <w:rFonts w:cstheme="minorHAnsi"/>
          <w:vertAlign w:val="subscript"/>
        </w:rPr>
        <w:t>1</w:t>
      </w:r>
      <w:r w:rsidR="00FD2A40" w:rsidRPr="002A5960">
        <w:rPr>
          <w:rFonts w:cstheme="minorHAnsi"/>
        </w:rPr>
        <w:t xml:space="preserve"> acid glycoprotein </w:t>
      </w:r>
      <w:r w:rsidRPr="002A5960">
        <w:rPr>
          <w:rFonts w:eastAsia="Times-Roman" w:cstheme="minorHAnsi"/>
        </w:rPr>
        <w:t xml:space="preserve"> </w:t>
      </w:r>
    </w:p>
    <w:p w:rsidR="002F7C58" w:rsidRPr="002A5960" w:rsidRDefault="002F7C58" w:rsidP="00B52EC7">
      <w:pPr>
        <w:autoSpaceDE w:val="0"/>
        <w:autoSpaceDN w:val="0"/>
        <w:adjustRightInd w:val="0"/>
        <w:spacing w:after="0" w:line="360" w:lineRule="auto"/>
        <w:jc w:val="both"/>
        <w:rPr>
          <w:rFonts w:eastAsia="Times-Roman" w:cstheme="minorHAnsi"/>
        </w:rPr>
      </w:pPr>
      <w:r w:rsidRPr="002A5960">
        <w:rPr>
          <w:rFonts w:eastAsia="Times-Roman" w:cstheme="minorHAnsi"/>
        </w:rPr>
        <w:t>Metabolism:</w:t>
      </w:r>
      <w:r w:rsidR="00FD2A40" w:rsidRPr="002A5960">
        <w:rPr>
          <w:rFonts w:eastAsia="Times-Roman" w:cstheme="minorHAnsi"/>
        </w:rPr>
        <w:t xml:space="preserve"> </w:t>
      </w:r>
      <w:r w:rsidR="00FD2A40" w:rsidRPr="002A5960">
        <w:rPr>
          <w:rFonts w:cstheme="minorHAnsi"/>
        </w:rPr>
        <w:t xml:space="preserve">90% hepatic; active metabolites monoethylglycinexylidide (MEGX) and glycinexylidide (GX) can accumulate and may cause CNS toxicity </w:t>
      </w:r>
      <w:r w:rsidRPr="002A5960">
        <w:rPr>
          <w:rFonts w:eastAsia="Times-Roman" w:cstheme="minorHAnsi"/>
        </w:rPr>
        <w:t xml:space="preserve"> </w:t>
      </w:r>
    </w:p>
    <w:p w:rsidR="002F7C58" w:rsidRPr="002A5960" w:rsidRDefault="002F7C58" w:rsidP="00B52EC7">
      <w:pPr>
        <w:autoSpaceDE w:val="0"/>
        <w:autoSpaceDN w:val="0"/>
        <w:adjustRightInd w:val="0"/>
        <w:spacing w:after="0" w:line="360" w:lineRule="auto"/>
        <w:jc w:val="both"/>
        <w:rPr>
          <w:rFonts w:eastAsia="Times-Roman" w:cstheme="minorHAnsi"/>
        </w:rPr>
      </w:pPr>
      <w:r w:rsidRPr="002A5960">
        <w:rPr>
          <w:rFonts w:eastAsia="Times-Roman" w:cstheme="minorHAnsi"/>
        </w:rPr>
        <w:t xml:space="preserve">Bioavailability: 85% </w:t>
      </w:r>
    </w:p>
    <w:p w:rsidR="002F7C58" w:rsidRPr="002A5960" w:rsidRDefault="002F7C58" w:rsidP="00B52EC7">
      <w:pPr>
        <w:autoSpaceDE w:val="0"/>
        <w:autoSpaceDN w:val="0"/>
        <w:adjustRightInd w:val="0"/>
        <w:spacing w:after="0" w:line="360" w:lineRule="auto"/>
        <w:jc w:val="both"/>
        <w:rPr>
          <w:rFonts w:eastAsia="Times-Roman" w:cstheme="minorHAnsi"/>
        </w:rPr>
      </w:pPr>
      <w:r w:rsidRPr="002A5960">
        <w:rPr>
          <w:rFonts w:eastAsia="Times-Roman" w:cstheme="minorHAnsi"/>
        </w:rPr>
        <w:t xml:space="preserve">Half-life elimination: </w:t>
      </w:r>
      <w:r w:rsidR="00FD2A40" w:rsidRPr="002A5960">
        <w:rPr>
          <w:rFonts w:cstheme="minorHAnsi"/>
        </w:rPr>
        <w:t>Biphasic: Prolonged with congestive heart failure, liver disease, shock, severe renal disease; Initial: 7-30 minutes; Terminal: Infants, premature: 3.2 hours, Adults: 1.5-2 hours</w:t>
      </w:r>
    </w:p>
    <w:p w:rsidR="00C914AB" w:rsidRPr="002A5960" w:rsidRDefault="002F7C58" w:rsidP="00B52EC7">
      <w:pPr>
        <w:autoSpaceDE w:val="0"/>
        <w:autoSpaceDN w:val="0"/>
        <w:adjustRightInd w:val="0"/>
        <w:spacing w:after="0" w:line="360" w:lineRule="auto"/>
        <w:jc w:val="both"/>
        <w:rPr>
          <w:rFonts w:eastAsia="Times-Roman" w:cstheme="minorHAnsi"/>
        </w:rPr>
      </w:pPr>
      <w:r w:rsidRPr="002A5960">
        <w:rPr>
          <w:rFonts w:eastAsia="Times-Roman" w:cstheme="minorHAnsi"/>
        </w:rPr>
        <w:t xml:space="preserve">Excretion: </w:t>
      </w:r>
      <w:r w:rsidR="009417B7" w:rsidRPr="002A5960">
        <w:rPr>
          <w:rFonts w:eastAsia="Times-Roman" w:cstheme="minorHAnsi"/>
        </w:rPr>
        <w:t xml:space="preserve"> </w:t>
      </w:r>
      <w:r w:rsidR="009417B7" w:rsidRPr="002A5960">
        <w:rPr>
          <w:rFonts w:cstheme="minorHAnsi"/>
        </w:rPr>
        <w:t>Urine (&lt;10% as unchanged drug, ~90% as metabolites)</w:t>
      </w:r>
    </w:p>
    <w:p w:rsidR="00362FA5" w:rsidRPr="002A5960" w:rsidRDefault="00724F72" w:rsidP="00B52EC7">
      <w:pPr>
        <w:autoSpaceDE w:val="0"/>
        <w:autoSpaceDN w:val="0"/>
        <w:adjustRightInd w:val="0"/>
        <w:spacing w:after="0" w:line="360" w:lineRule="auto"/>
        <w:jc w:val="both"/>
        <w:rPr>
          <w:rFonts w:cstheme="minorHAnsi"/>
        </w:rPr>
      </w:pPr>
      <w:r w:rsidRPr="002A5960">
        <w:rPr>
          <w:rFonts w:cstheme="minorHAnsi"/>
          <w:b/>
        </w:rPr>
        <w:t xml:space="preserve">Dose :adults: ventricular fibrillation: I.V </w:t>
      </w:r>
      <w:r w:rsidRPr="002A5960">
        <w:rPr>
          <w:rFonts w:cstheme="minorHAnsi"/>
        </w:rPr>
        <w:t>1-1.5mg/kg</w:t>
      </w:r>
    </w:p>
    <w:p w:rsidR="00CB70AD" w:rsidRPr="002A5960" w:rsidRDefault="00B06FD7" w:rsidP="00B52EC7">
      <w:pPr>
        <w:autoSpaceDE w:val="0"/>
        <w:autoSpaceDN w:val="0"/>
        <w:adjustRightInd w:val="0"/>
        <w:spacing w:after="0" w:line="360" w:lineRule="auto"/>
        <w:jc w:val="both"/>
        <w:rPr>
          <w:rFonts w:cstheme="minorHAnsi"/>
          <w:b/>
        </w:rPr>
      </w:pPr>
      <w:r w:rsidRPr="002A5960">
        <w:rPr>
          <w:rFonts w:cstheme="minorHAnsi"/>
          <w:b/>
        </w:rPr>
        <w:lastRenderedPageBreak/>
        <w:t>Ther</w:t>
      </w:r>
      <w:r w:rsidR="008D2818" w:rsidRPr="002A5960">
        <w:rPr>
          <w:rFonts w:cstheme="minorHAnsi"/>
          <w:b/>
        </w:rPr>
        <w:t>apeutic and Toxic Levels</w:t>
      </w:r>
      <w:r w:rsidRPr="002A5960">
        <w:rPr>
          <w:rFonts w:cstheme="minorHAnsi"/>
          <w:b/>
        </w:rPr>
        <w:t>:</w:t>
      </w:r>
    </w:p>
    <w:p w:rsidR="00773A02" w:rsidRPr="002A5960" w:rsidRDefault="00773A02" w:rsidP="00B52EC7">
      <w:pPr>
        <w:autoSpaceDE w:val="0"/>
        <w:autoSpaceDN w:val="0"/>
        <w:adjustRightInd w:val="0"/>
        <w:spacing w:after="0" w:line="360" w:lineRule="auto"/>
        <w:jc w:val="both"/>
        <w:rPr>
          <w:rFonts w:cstheme="minorHAnsi"/>
          <w:b/>
        </w:rPr>
      </w:pPr>
    </w:p>
    <w:p w:rsidR="00B06FD7" w:rsidRPr="002A5960" w:rsidRDefault="009D3D86" w:rsidP="009D3D86">
      <w:pPr>
        <w:autoSpaceDE w:val="0"/>
        <w:autoSpaceDN w:val="0"/>
        <w:adjustRightInd w:val="0"/>
        <w:spacing w:after="0" w:line="360" w:lineRule="auto"/>
        <w:jc w:val="both"/>
        <w:rPr>
          <w:rFonts w:cstheme="minorHAnsi"/>
        </w:rPr>
      </w:pPr>
      <w:r w:rsidRPr="002A5960">
        <w:rPr>
          <w:rFonts w:cstheme="minorHAnsi"/>
        </w:rPr>
        <w:t>The monitoring of lidocaine</w:t>
      </w:r>
      <w:r w:rsidR="003D04A0" w:rsidRPr="002A5960">
        <w:rPr>
          <w:rFonts w:cstheme="minorHAnsi"/>
        </w:rPr>
        <w:t xml:space="preserve"> levels in the blood is critical. Common toxic reaction seen with this drug includes </w:t>
      </w:r>
      <w:r w:rsidRPr="002A5960">
        <w:rPr>
          <w:rFonts w:cstheme="minorHAnsi"/>
        </w:rPr>
        <w:t>arrhythmias, bradycardia, heart block etc.</w:t>
      </w:r>
      <w:bookmarkStart w:id="1" w:name="rei"/>
    </w:p>
    <w:p w:rsidR="009D3D86" w:rsidRPr="002A5960" w:rsidRDefault="009D3D86" w:rsidP="009D3D86">
      <w:pPr>
        <w:autoSpaceDE w:val="0"/>
        <w:autoSpaceDN w:val="0"/>
        <w:adjustRightInd w:val="0"/>
        <w:spacing w:after="0" w:line="360" w:lineRule="auto"/>
        <w:jc w:val="both"/>
        <w:rPr>
          <w:rFonts w:cstheme="minorHAnsi"/>
        </w:rPr>
      </w:pPr>
    </w:p>
    <w:p w:rsidR="00034146" w:rsidRPr="002A5960" w:rsidRDefault="00B06FD7" w:rsidP="00B52EC7">
      <w:pPr>
        <w:spacing w:after="0" w:line="360" w:lineRule="auto"/>
        <w:jc w:val="both"/>
        <w:rPr>
          <w:rFonts w:eastAsia="Times New Roman" w:cstheme="minorHAnsi"/>
        </w:rPr>
      </w:pPr>
      <w:r w:rsidRPr="002A5960">
        <w:rPr>
          <w:rFonts w:eastAsia="Times New Roman" w:cstheme="minorHAnsi"/>
        </w:rPr>
        <w:t>Therapeutic Levels</w:t>
      </w:r>
      <w:bookmarkEnd w:id="1"/>
      <w:r w:rsidRPr="002A5960">
        <w:rPr>
          <w:rFonts w:eastAsia="Times New Roman" w:cstheme="minorHAnsi"/>
        </w:rPr>
        <w:t>:</w:t>
      </w:r>
      <w:r w:rsidR="009D3D86" w:rsidRPr="002A5960">
        <w:rPr>
          <w:rFonts w:eastAsia="Times New Roman" w:cstheme="minorHAnsi"/>
        </w:rPr>
        <w:t xml:space="preserve"> 1.5-5.0mcg/ml</w:t>
      </w:r>
    </w:p>
    <w:p w:rsidR="00BF10D2" w:rsidRPr="002A5960" w:rsidRDefault="009D3D86" w:rsidP="00B52EC7">
      <w:pPr>
        <w:spacing w:after="0" w:line="360" w:lineRule="auto"/>
        <w:jc w:val="both"/>
        <w:rPr>
          <w:rFonts w:eastAsia="Times New Roman" w:cstheme="minorHAnsi"/>
        </w:rPr>
      </w:pPr>
      <w:r w:rsidRPr="002A5960">
        <w:rPr>
          <w:rFonts w:eastAsia="Times New Roman" w:cstheme="minorHAnsi"/>
        </w:rPr>
        <w:t>Potentially</w:t>
      </w:r>
      <w:r w:rsidR="00BF10D2" w:rsidRPr="002A5960">
        <w:rPr>
          <w:rFonts w:eastAsia="Times New Roman" w:cstheme="minorHAnsi"/>
        </w:rPr>
        <w:t xml:space="preserve"> </w:t>
      </w:r>
      <w:r w:rsidR="00B06FD7" w:rsidRPr="002A5960">
        <w:rPr>
          <w:rFonts w:eastAsia="Times New Roman" w:cstheme="minorHAnsi"/>
        </w:rPr>
        <w:t>Toxic</w:t>
      </w:r>
      <w:r w:rsidR="00BF10D2" w:rsidRPr="002A5960">
        <w:rPr>
          <w:rFonts w:eastAsia="Times New Roman" w:cstheme="minorHAnsi"/>
        </w:rPr>
        <w:t xml:space="preserve"> level</w:t>
      </w:r>
      <w:r w:rsidRPr="002A5960">
        <w:rPr>
          <w:rFonts w:eastAsia="Times New Roman" w:cstheme="minorHAnsi"/>
        </w:rPr>
        <w:t>: &gt;6mcg</w:t>
      </w:r>
      <w:r w:rsidR="00B06FD7" w:rsidRPr="002A5960">
        <w:rPr>
          <w:rFonts w:eastAsia="Times New Roman" w:cstheme="minorHAnsi"/>
        </w:rPr>
        <w:t>/mL</w:t>
      </w:r>
    </w:p>
    <w:p w:rsidR="00B06FD7" w:rsidRPr="002A5960" w:rsidRDefault="009D3D86" w:rsidP="00B52EC7">
      <w:pPr>
        <w:spacing w:after="0" w:line="360" w:lineRule="auto"/>
        <w:jc w:val="both"/>
        <w:rPr>
          <w:rFonts w:eastAsia="Times New Roman" w:cstheme="minorHAnsi"/>
        </w:rPr>
      </w:pPr>
      <w:r w:rsidRPr="002A5960">
        <w:rPr>
          <w:rFonts w:eastAsia="Times New Roman" w:cstheme="minorHAnsi"/>
        </w:rPr>
        <w:t>Toxic   level:  &gt; 9mcg</w:t>
      </w:r>
      <w:r w:rsidR="00BF10D2" w:rsidRPr="002A5960">
        <w:rPr>
          <w:rFonts w:eastAsia="Times New Roman" w:cstheme="minorHAnsi"/>
        </w:rPr>
        <w:t>/mL</w:t>
      </w:r>
      <w:r w:rsidR="00BF10D2" w:rsidRPr="002A5960">
        <w:rPr>
          <w:rFonts w:eastAsia="Times New Roman" w:cstheme="minorHAnsi"/>
          <w:vertAlign w:val="superscript"/>
        </w:rPr>
        <w:t xml:space="preserve"> </w:t>
      </w:r>
      <w:r w:rsidR="00970574" w:rsidRPr="002A5960">
        <w:rPr>
          <w:rFonts w:eastAsia="Times New Roman" w:cstheme="minorHAnsi"/>
          <w:b/>
          <w:vertAlign w:val="superscript"/>
        </w:rPr>
        <w:t>3</w:t>
      </w:r>
    </w:p>
    <w:p w:rsidR="00034146" w:rsidRPr="002A5960" w:rsidRDefault="00034146" w:rsidP="00B52EC7">
      <w:pPr>
        <w:spacing w:after="0" w:line="360" w:lineRule="auto"/>
        <w:jc w:val="both"/>
        <w:rPr>
          <w:rFonts w:eastAsia="Times New Roman" w:cstheme="minorHAnsi"/>
          <w:b/>
        </w:rPr>
      </w:pPr>
      <w:bookmarkStart w:id="2" w:name="spe"/>
    </w:p>
    <w:p w:rsidR="00C31BEF" w:rsidRPr="002A5960" w:rsidRDefault="000C18AF" w:rsidP="00B52EC7">
      <w:pPr>
        <w:spacing w:after="0" w:line="360" w:lineRule="auto"/>
        <w:jc w:val="both"/>
        <w:rPr>
          <w:rFonts w:eastAsia="Times New Roman" w:cstheme="minorHAnsi"/>
          <w:b/>
        </w:rPr>
      </w:pPr>
      <w:r w:rsidRPr="002A5960">
        <w:rPr>
          <w:rFonts w:eastAsia="Times New Roman" w:cstheme="minorHAnsi"/>
          <w:b/>
        </w:rPr>
        <w:t>Assay Parameters</w:t>
      </w:r>
      <w:r w:rsidR="00C31BEF" w:rsidRPr="002A5960">
        <w:rPr>
          <w:rFonts w:eastAsia="Times New Roman" w:cstheme="minorHAnsi"/>
          <w:b/>
        </w:rPr>
        <w:t>:</w:t>
      </w:r>
    </w:p>
    <w:p w:rsidR="00034146" w:rsidRPr="002A5960" w:rsidRDefault="00C31BEF" w:rsidP="00B52EC7">
      <w:pPr>
        <w:spacing w:after="0" w:line="360" w:lineRule="auto"/>
        <w:jc w:val="both"/>
        <w:rPr>
          <w:rFonts w:eastAsia="Times New Roman" w:cstheme="minorHAnsi"/>
        </w:rPr>
      </w:pPr>
      <w:r w:rsidRPr="002A5960">
        <w:rPr>
          <w:rFonts w:eastAsia="Times New Roman" w:cstheme="minorHAnsi"/>
        </w:rPr>
        <w:t>S</w:t>
      </w:r>
      <w:r w:rsidR="000C18AF" w:rsidRPr="002A5960">
        <w:rPr>
          <w:rFonts w:eastAsia="Times New Roman" w:cstheme="minorHAnsi"/>
        </w:rPr>
        <w:t>ample</w:t>
      </w:r>
      <w:bookmarkEnd w:id="2"/>
      <w:r w:rsidRPr="002A5960">
        <w:rPr>
          <w:rFonts w:eastAsia="Times New Roman" w:cstheme="minorHAnsi"/>
        </w:rPr>
        <w:t>:</w:t>
      </w:r>
    </w:p>
    <w:p w:rsidR="00034146" w:rsidRPr="002A5960" w:rsidRDefault="00C31BEF" w:rsidP="00B52EC7">
      <w:pPr>
        <w:spacing w:after="0" w:line="360" w:lineRule="auto"/>
        <w:jc w:val="both"/>
        <w:rPr>
          <w:rFonts w:eastAsia="Times New Roman" w:cstheme="minorHAnsi"/>
        </w:rPr>
      </w:pPr>
      <w:r w:rsidRPr="002A5960">
        <w:rPr>
          <w:rFonts w:eastAsia="Times New Roman" w:cstheme="minorHAnsi"/>
        </w:rPr>
        <w:t>1 mL serum or plasma (0.5 mL minimum)</w:t>
      </w:r>
      <w:bookmarkStart w:id="3" w:name="con"/>
    </w:p>
    <w:p w:rsidR="00250CE2" w:rsidRPr="002A5960" w:rsidRDefault="00250CE2" w:rsidP="00B52EC7">
      <w:pPr>
        <w:spacing w:after="0" w:line="360" w:lineRule="auto"/>
        <w:jc w:val="both"/>
        <w:rPr>
          <w:rFonts w:eastAsia="Times New Roman" w:cstheme="minorHAnsi"/>
        </w:rPr>
      </w:pPr>
    </w:p>
    <w:p w:rsidR="00034146" w:rsidRPr="002A5960" w:rsidRDefault="00C31BEF" w:rsidP="00B52EC7">
      <w:pPr>
        <w:spacing w:after="0" w:line="360" w:lineRule="auto"/>
        <w:jc w:val="both"/>
        <w:rPr>
          <w:rFonts w:eastAsia="Times New Roman" w:cstheme="minorHAnsi"/>
        </w:rPr>
      </w:pPr>
      <w:r w:rsidRPr="002A5960">
        <w:rPr>
          <w:rFonts w:eastAsia="Times New Roman" w:cstheme="minorHAnsi"/>
        </w:rPr>
        <w:t>Container</w:t>
      </w:r>
      <w:bookmarkEnd w:id="3"/>
      <w:r w:rsidRPr="002A5960">
        <w:rPr>
          <w:rFonts w:eastAsia="Times New Roman" w:cstheme="minorHAnsi"/>
        </w:rPr>
        <w:t>:</w:t>
      </w:r>
    </w:p>
    <w:p w:rsidR="00C31BEF" w:rsidRPr="002A5960" w:rsidRDefault="00C31BEF" w:rsidP="00B52EC7">
      <w:pPr>
        <w:spacing w:after="0" w:line="360" w:lineRule="auto"/>
        <w:jc w:val="both"/>
        <w:rPr>
          <w:rFonts w:eastAsia="Times New Roman" w:cstheme="minorHAnsi"/>
        </w:rPr>
      </w:pPr>
      <w:r w:rsidRPr="002A5960">
        <w:rPr>
          <w:rFonts w:eastAsia="Times New Roman" w:cstheme="minorHAnsi"/>
        </w:rPr>
        <w:t xml:space="preserve">Red top (no additive) tube, lavender top (EDTA) tube, or green top (heparin) tube. Do </w:t>
      </w:r>
      <w:r w:rsidRPr="002A5960">
        <w:rPr>
          <w:rFonts w:eastAsia="Times New Roman" w:cstheme="minorHAnsi"/>
          <w:b/>
          <w:bCs/>
        </w:rPr>
        <w:t>not</w:t>
      </w:r>
      <w:r w:rsidRPr="002A5960">
        <w:rPr>
          <w:rFonts w:eastAsia="Times New Roman" w:cstheme="minorHAnsi"/>
        </w:rPr>
        <w:t xml:space="preserve"> use a serum separator tube. Containers are laboratory and methodology specific.</w:t>
      </w:r>
    </w:p>
    <w:p w:rsidR="00034146" w:rsidRPr="002A5960" w:rsidRDefault="00034146" w:rsidP="00B52EC7">
      <w:pPr>
        <w:spacing w:after="0" w:line="360" w:lineRule="auto"/>
        <w:jc w:val="both"/>
        <w:rPr>
          <w:rFonts w:eastAsia="Times New Roman" w:cstheme="minorHAnsi"/>
        </w:rPr>
      </w:pPr>
      <w:bookmarkStart w:id="4" w:name="col"/>
    </w:p>
    <w:p w:rsidR="00034146" w:rsidRPr="002A5960" w:rsidRDefault="00C31BEF" w:rsidP="00B52EC7">
      <w:pPr>
        <w:spacing w:after="0" w:line="360" w:lineRule="auto"/>
        <w:jc w:val="both"/>
        <w:rPr>
          <w:rFonts w:eastAsia="Times New Roman" w:cstheme="minorHAnsi"/>
        </w:rPr>
      </w:pPr>
      <w:r w:rsidRPr="002A5960">
        <w:rPr>
          <w:rFonts w:eastAsia="Times New Roman" w:cstheme="minorHAnsi"/>
        </w:rPr>
        <w:t>Collection</w:t>
      </w:r>
      <w:bookmarkEnd w:id="4"/>
      <w:r w:rsidRPr="002A5960">
        <w:rPr>
          <w:rFonts w:eastAsia="Times New Roman" w:cstheme="minorHAnsi"/>
        </w:rPr>
        <w:t>:</w:t>
      </w:r>
    </w:p>
    <w:p w:rsidR="00C31BEF" w:rsidRPr="002A5960" w:rsidRDefault="00C31BEF" w:rsidP="00B52EC7">
      <w:pPr>
        <w:spacing w:after="0" w:line="360" w:lineRule="auto"/>
        <w:jc w:val="both"/>
        <w:rPr>
          <w:rFonts w:eastAsia="Times New Roman" w:cstheme="minorHAnsi"/>
        </w:rPr>
      </w:pPr>
      <w:r w:rsidRPr="002A5960">
        <w:rPr>
          <w:rFonts w:eastAsia="Times New Roman" w:cstheme="minorHAnsi"/>
        </w:rPr>
        <w:t>Routine venipuncture. Separate serum or plasma from cells as soon as possible. A consistent sampling time, ideally a trough leve</w:t>
      </w:r>
      <w:r w:rsidR="00FF02CF" w:rsidRPr="002A5960">
        <w:rPr>
          <w:rFonts w:eastAsia="Times New Roman" w:cstheme="minorHAnsi"/>
        </w:rPr>
        <w:t>l 30 minutes prior to next dose</w:t>
      </w:r>
      <w:r w:rsidRPr="002A5960">
        <w:rPr>
          <w:rFonts w:eastAsia="Times New Roman" w:cstheme="minorHAnsi"/>
        </w:rPr>
        <w:t xml:space="preserve"> should be used to monitor patients on chronic therapy.</w:t>
      </w:r>
    </w:p>
    <w:p w:rsidR="00034146" w:rsidRPr="002A5960" w:rsidRDefault="00034146" w:rsidP="00B52EC7">
      <w:pPr>
        <w:spacing w:after="0" w:line="360" w:lineRule="auto"/>
        <w:jc w:val="both"/>
        <w:rPr>
          <w:rFonts w:eastAsia="Times New Roman" w:cstheme="minorHAnsi"/>
        </w:rPr>
      </w:pPr>
      <w:bookmarkStart w:id="5" w:name="sti"/>
    </w:p>
    <w:p w:rsidR="000C18AF" w:rsidRPr="002A5960" w:rsidRDefault="00C31BEF" w:rsidP="00B52EC7">
      <w:pPr>
        <w:spacing w:after="0" w:line="360" w:lineRule="auto"/>
        <w:jc w:val="both"/>
        <w:rPr>
          <w:rFonts w:eastAsia="Times New Roman" w:cstheme="minorHAnsi"/>
        </w:rPr>
      </w:pPr>
      <w:r w:rsidRPr="002A5960">
        <w:rPr>
          <w:rFonts w:eastAsia="Times New Roman" w:cstheme="minorHAnsi"/>
        </w:rPr>
        <w:t>Storage Instructions</w:t>
      </w:r>
      <w:bookmarkEnd w:id="5"/>
      <w:r w:rsidRPr="002A5960">
        <w:rPr>
          <w:rFonts w:eastAsia="Times New Roman" w:cstheme="minorHAnsi"/>
        </w:rPr>
        <w:t>:</w:t>
      </w:r>
    </w:p>
    <w:p w:rsidR="000C18AF" w:rsidRPr="002A5960" w:rsidRDefault="000C18AF" w:rsidP="00B52EC7">
      <w:pPr>
        <w:spacing w:after="0" w:line="360" w:lineRule="auto"/>
        <w:jc w:val="both"/>
        <w:rPr>
          <w:rFonts w:eastAsia="Times New Roman" w:cstheme="minorHAnsi"/>
        </w:rPr>
      </w:pPr>
      <w:r w:rsidRPr="002A5960">
        <w:rPr>
          <w:rFonts w:eastAsia="Times New Roman" w:cstheme="minorHAnsi"/>
        </w:rPr>
        <w:t>Maintain sample</w:t>
      </w:r>
      <w:r w:rsidR="00C31BEF" w:rsidRPr="002A5960">
        <w:rPr>
          <w:rFonts w:eastAsia="Times New Roman" w:cstheme="minorHAnsi"/>
        </w:rPr>
        <w:t xml:space="preserve"> at room temperature or refrigerate.</w:t>
      </w:r>
      <w:bookmarkStart w:id="6" w:name="met"/>
      <w:r w:rsidR="00970574" w:rsidRPr="002A5960">
        <w:rPr>
          <w:rFonts w:eastAsia="Times New Roman" w:cstheme="minorHAnsi"/>
          <w:vertAlign w:val="superscript"/>
        </w:rPr>
        <w:t xml:space="preserve"> 3</w:t>
      </w:r>
    </w:p>
    <w:p w:rsidR="003F4C94" w:rsidRPr="002A5960" w:rsidRDefault="003F4C94" w:rsidP="00B52EC7">
      <w:pPr>
        <w:spacing w:after="0" w:line="360" w:lineRule="auto"/>
        <w:jc w:val="both"/>
        <w:rPr>
          <w:rFonts w:eastAsia="Times New Roman" w:cstheme="minorHAnsi"/>
          <w:b/>
        </w:rPr>
      </w:pPr>
    </w:p>
    <w:p w:rsidR="00C31BEF" w:rsidRPr="002A5960" w:rsidRDefault="00D05AF8" w:rsidP="00B52EC7">
      <w:pPr>
        <w:spacing w:after="0" w:line="360" w:lineRule="auto"/>
        <w:jc w:val="both"/>
        <w:rPr>
          <w:rFonts w:eastAsia="Times New Roman" w:cstheme="minorHAnsi"/>
          <w:b/>
        </w:rPr>
      </w:pPr>
      <w:r w:rsidRPr="002A5960">
        <w:rPr>
          <w:rFonts w:eastAsia="Times New Roman" w:cstheme="minorHAnsi"/>
          <w:b/>
        </w:rPr>
        <w:t xml:space="preserve">Analytical </w:t>
      </w:r>
      <w:r w:rsidR="00C31BEF" w:rsidRPr="002A5960">
        <w:rPr>
          <w:rFonts w:eastAsia="Times New Roman" w:cstheme="minorHAnsi"/>
          <w:b/>
        </w:rPr>
        <w:t>Method</w:t>
      </w:r>
      <w:bookmarkEnd w:id="6"/>
      <w:r w:rsidRPr="002A5960">
        <w:rPr>
          <w:rFonts w:eastAsia="Times New Roman" w:cstheme="minorHAnsi"/>
          <w:b/>
        </w:rPr>
        <w:t>s</w:t>
      </w:r>
      <w:r w:rsidR="00C31BEF" w:rsidRPr="002A5960">
        <w:rPr>
          <w:rFonts w:eastAsia="Times New Roman" w:cstheme="minorHAnsi"/>
          <w:b/>
        </w:rPr>
        <w:t>:</w:t>
      </w:r>
    </w:p>
    <w:p w:rsidR="00D211FD" w:rsidRPr="002A5960" w:rsidRDefault="00D211FD" w:rsidP="00B52EC7">
      <w:pPr>
        <w:autoSpaceDE w:val="0"/>
        <w:autoSpaceDN w:val="0"/>
        <w:adjustRightInd w:val="0"/>
        <w:spacing w:after="0" w:line="360" w:lineRule="auto"/>
        <w:jc w:val="both"/>
        <w:rPr>
          <w:rFonts w:eastAsia="Times New Roman" w:cstheme="minorHAnsi"/>
        </w:rPr>
      </w:pPr>
      <w:r w:rsidRPr="002A5960">
        <w:rPr>
          <w:rFonts w:eastAsia="Times-Roman" w:cstheme="minorHAnsi"/>
          <w:color w:val="000000"/>
        </w:rPr>
        <w:t>Commercial reagent-based techniques represent the primary methodology f</w:t>
      </w:r>
      <w:r w:rsidR="003155AF" w:rsidRPr="002A5960">
        <w:rPr>
          <w:rFonts w:eastAsia="Times-Roman" w:cstheme="minorHAnsi"/>
          <w:color w:val="000000"/>
        </w:rPr>
        <w:t>or the analysis of lidocaine</w:t>
      </w:r>
      <w:r w:rsidRPr="002A5960">
        <w:rPr>
          <w:rFonts w:eastAsia="Times-Roman" w:cstheme="minorHAnsi"/>
          <w:color w:val="000000"/>
        </w:rPr>
        <w:t xml:space="preserve"> such as serum </w:t>
      </w:r>
      <w:r w:rsidR="00C31BEF" w:rsidRPr="002A5960">
        <w:rPr>
          <w:rFonts w:eastAsia="Times New Roman" w:cstheme="minorHAnsi"/>
        </w:rPr>
        <w:t>Enzyme immunoassay (EIA); enzyme multiplied immunoassay technique (EMIT); fluorescence polarization immunoassay (FPIA); gas-liquid chromatography (GLC); high performance liquid chromatography (HPLC);  liquid chromatography/tandem mass spectrometry (LC/MS-MS)</w:t>
      </w:r>
      <w:r w:rsidRPr="002A5960">
        <w:rPr>
          <w:rFonts w:eastAsia="Times New Roman" w:cstheme="minorHAnsi"/>
        </w:rPr>
        <w:t>.</w:t>
      </w:r>
    </w:p>
    <w:p w:rsidR="00D211FD" w:rsidRPr="002A5960" w:rsidRDefault="00D211FD" w:rsidP="00B52EC7">
      <w:pPr>
        <w:autoSpaceDE w:val="0"/>
        <w:autoSpaceDN w:val="0"/>
        <w:adjustRightInd w:val="0"/>
        <w:spacing w:after="0" w:line="360" w:lineRule="auto"/>
        <w:jc w:val="both"/>
        <w:rPr>
          <w:rFonts w:eastAsia="Times-Roman" w:cstheme="minorHAnsi"/>
          <w:color w:val="000000"/>
        </w:rPr>
      </w:pPr>
    </w:p>
    <w:p w:rsidR="003155AF" w:rsidRPr="002A5960" w:rsidRDefault="003155AF" w:rsidP="00B52EC7">
      <w:pPr>
        <w:autoSpaceDE w:val="0"/>
        <w:autoSpaceDN w:val="0"/>
        <w:adjustRightInd w:val="0"/>
        <w:spacing w:after="0" w:line="360" w:lineRule="auto"/>
        <w:jc w:val="both"/>
        <w:rPr>
          <w:rFonts w:eastAsia="Times-Roman" w:cstheme="minorHAnsi"/>
          <w:b/>
          <w:color w:val="000000"/>
        </w:rPr>
      </w:pPr>
    </w:p>
    <w:p w:rsidR="00FC3756" w:rsidRPr="002A5960" w:rsidRDefault="00285FCE" w:rsidP="00B52EC7">
      <w:pPr>
        <w:autoSpaceDE w:val="0"/>
        <w:autoSpaceDN w:val="0"/>
        <w:adjustRightInd w:val="0"/>
        <w:spacing w:after="0" w:line="360" w:lineRule="auto"/>
        <w:jc w:val="both"/>
        <w:rPr>
          <w:rFonts w:eastAsia="Times-Roman" w:cstheme="minorHAnsi"/>
          <w:b/>
          <w:color w:val="000000"/>
        </w:rPr>
      </w:pPr>
      <w:r w:rsidRPr="002A5960">
        <w:rPr>
          <w:rFonts w:eastAsia="Times-Roman" w:cstheme="minorHAnsi"/>
          <w:b/>
          <w:color w:val="000000"/>
        </w:rPr>
        <w:lastRenderedPageBreak/>
        <w:t>GLC:</w:t>
      </w:r>
    </w:p>
    <w:p w:rsidR="00285FCE" w:rsidRPr="002A5960" w:rsidRDefault="00285FCE" w:rsidP="00B52EC7">
      <w:pPr>
        <w:autoSpaceDE w:val="0"/>
        <w:autoSpaceDN w:val="0"/>
        <w:adjustRightInd w:val="0"/>
        <w:spacing w:after="0" w:line="360" w:lineRule="auto"/>
        <w:jc w:val="both"/>
        <w:rPr>
          <w:rFonts w:eastAsia="Times-Roman" w:cstheme="minorHAnsi"/>
          <w:color w:val="000000"/>
        </w:rPr>
      </w:pPr>
      <w:r w:rsidRPr="002A5960">
        <w:rPr>
          <w:rFonts w:eastAsia="Times-Roman" w:cstheme="minorHAnsi"/>
          <w:color w:val="000000"/>
        </w:rPr>
        <w:t>Although numerous GLC procedure</w:t>
      </w:r>
      <w:r w:rsidR="00B97DC8" w:rsidRPr="002A5960">
        <w:rPr>
          <w:rFonts w:eastAsia="Times-Roman" w:cstheme="minorHAnsi"/>
          <w:color w:val="000000"/>
        </w:rPr>
        <w:t>s</w:t>
      </w:r>
      <w:r w:rsidRPr="002A5960">
        <w:rPr>
          <w:rFonts w:eastAsia="Times-Roman" w:cstheme="minorHAnsi"/>
          <w:color w:val="000000"/>
        </w:rPr>
        <w:t xml:space="preserve"> have been developed, which measure</w:t>
      </w:r>
      <w:r w:rsidR="003155AF" w:rsidRPr="002A5960">
        <w:rPr>
          <w:rFonts w:eastAsia="Times-Roman" w:cstheme="minorHAnsi"/>
          <w:color w:val="000000"/>
        </w:rPr>
        <w:t xml:space="preserve">s either intact drug or variety </w:t>
      </w:r>
      <w:r w:rsidRPr="002A5960">
        <w:rPr>
          <w:rFonts w:eastAsia="Times-Roman" w:cstheme="minorHAnsi"/>
          <w:color w:val="000000"/>
        </w:rPr>
        <w:t>of derivative or degradation product. None is satisfactory as CBZ undergoes partial degradation during GLC. The best app</w:t>
      </w:r>
      <w:r w:rsidR="00B97DC8" w:rsidRPr="002A5960">
        <w:rPr>
          <w:rFonts w:eastAsia="Times-Roman" w:cstheme="minorHAnsi"/>
          <w:color w:val="000000"/>
        </w:rPr>
        <w:t xml:space="preserve">roach is to analyze the intact </w:t>
      </w:r>
      <w:r w:rsidRPr="002A5960">
        <w:rPr>
          <w:rFonts w:eastAsia="Times-Roman" w:cstheme="minorHAnsi"/>
          <w:color w:val="000000"/>
        </w:rPr>
        <w:t>drug and to use C</w:t>
      </w:r>
      <w:r w:rsidRPr="002A5960">
        <w:rPr>
          <w:rFonts w:eastAsia="Times-Roman" w:cstheme="minorHAnsi"/>
          <w:color w:val="000000"/>
          <w:vertAlign w:val="subscript"/>
        </w:rPr>
        <w:t>13</w:t>
      </w:r>
      <w:r w:rsidRPr="002A5960">
        <w:rPr>
          <w:rFonts w:eastAsia="Times-Roman" w:cstheme="minorHAnsi"/>
          <w:color w:val="000000"/>
        </w:rPr>
        <w:t xml:space="preserve"> CBZ as an internal standard, but this approach</w:t>
      </w:r>
      <w:r w:rsidR="00B97DC8" w:rsidRPr="002A5960">
        <w:rPr>
          <w:rFonts w:eastAsia="Times-Roman" w:cstheme="minorHAnsi"/>
          <w:color w:val="000000"/>
        </w:rPr>
        <w:t xml:space="preserve"> </w:t>
      </w:r>
      <w:r w:rsidRPr="002A5960">
        <w:rPr>
          <w:rFonts w:eastAsia="Times-Roman" w:cstheme="minorHAnsi"/>
          <w:color w:val="000000"/>
        </w:rPr>
        <w:t xml:space="preserve"> requires spectrometric detection.</w:t>
      </w:r>
    </w:p>
    <w:p w:rsidR="00B97DC8" w:rsidRPr="002A5960" w:rsidRDefault="00B97DC8" w:rsidP="00B52EC7">
      <w:pPr>
        <w:autoSpaceDE w:val="0"/>
        <w:autoSpaceDN w:val="0"/>
        <w:adjustRightInd w:val="0"/>
        <w:spacing w:after="0" w:line="360" w:lineRule="auto"/>
        <w:jc w:val="both"/>
        <w:rPr>
          <w:rFonts w:eastAsia="Times-Roman" w:cstheme="minorHAnsi"/>
          <w:color w:val="000000"/>
        </w:rPr>
      </w:pPr>
    </w:p>
    <w:p w:rsidR="00B97DC8" w:rsidRPr="002A5960" w:rsidRDefault="00B97DC8" w:rsidP="00B52EC7">
      <w:pPr>
        <w:autoSpaceDE w:val="0"/>
        <w:autoSpaceDN w:val="0"/>
        <w:adjustRightInd w:val="0"/>
        <w:spacing w:after="0" w:line="360" w:lineRule="auto"/>
        <w:jc w:val="both"/>
        <w:rPr>
          <w:rFonts w:eastAsia="Times-Roman" w:cstheme="minorHAnsi"/>
          <w:b/>
          <w:color w:val="000000"/>
        </w:rPr>
      </w:pPr>
      <w:r w:rsidRPr="002A5960">
        <w:rPr>
          <w:rFonts w:eastAsia="Times-Roman" w:cstheme="minorHAnsi"/>
          <w:b/>
          <w:color w:val="000000"/>
        </w:rPr>
        <w:t>HPLC:</w:t>
      </w:r>
    </w:p>
    <w:p w:rsidR="00A41D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 xml:space="preserve"> High Pressure Liquid Chromatography: it is a common analytical method used to measure therapeutic drug levels prior to the advent of immunoassays. The principle of HPLC technology is based on the fact that separation of a substance depends on the relative distribution of mixture constituents between two phases, a mobile phase (carrying the mixture) and a stationary phase. Substances that are distributed preferentially in the mobile phase move through the system more rapidly than do the substances that are distributed in the stationary phase.</w:t>
      </w:r>
    </w:p>
    <w:p w:rsidR="00A41DAF" w:rsidRPr="002A5960" w:rsidRDefault="00A41DAF" w:rsidP="00B52EC7">
      <w:pPr>
        <w:autoSpaceDE w:val="0"/>
        <w:autoSpaceDN w:val="0"/>
        <w:adjustRightInd w:val="0"/>
        <w:spacing w:after="0" w:line="360" w:lineRule="auto"/>
        <w:jc w:val="both"/>
        <w:rPr>
          <w:rFonts w:cstheme="minorHAnsi"/>
          <w:bCs/>
          <w:lang w:val="en-IN"/>
        </w:rPr>
      </w:pPr>
      <w:r w:rsidRPr="002A5960">
        <w:rPr>
          <w:rFonts w:cstheme="minorHAnsi"/>
          <w:bCs/>
          <w:lang w:val="en-IN"/>
        </w:rPr>
        <w:t>The basic pathway in HPLC involves six elements:</w:t>
      </w:r>
    </w:p>
    <w:p w:rsidR="00A41D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1) Solvent (mobile phase) reservoir</w:t>
      </w:r>
    </w:p>
    <w:p w:rsidR="00A41D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2) Pump</w:t>
      </w:r>
    </w:p>
    <w:p w:rsidR="00A41D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3) Sample injector</w:t>
      </w:r>
    </w:p>
    <w:p w:rsidR="00A41DAF" w:rsidRPr="002A5960" w:rsidRDefault="00A41DAF" w:rsidP="00B52EC7">
      <w:pPr>
        <w:tabs>
          <w:tab w:val="left" w:pos="1515"/>
        </w:tabs>
        <w:autoSpaceDE w:val="0"/>
        <w:autoSpaceDN w:val="0"/>
        <w:adjustRightInd w:val="0"/>
        <w:spacing w:after="0" w:line="360" w:lineRule="auto"/>
        <w:jc w:val="both"/>
        <w:rPr>
          <w:rFonts w:cstheme="minorHAnsi"/>
          <w:lang w:val="en-IN"/>
        </w:rPr>
      </w:pPr>
      <w:r w:rsidRPr="002A5960">
        <w:rPr>
          <w:rFonts w:cstheme="minorHAnsi"/>
          <w:lang w:val="en-IN"/>
        </w:rPr>
        <w:t>4) Column</w:t>
      </w:r>
      <w:r w:rsidRPr="002A5960">
        <w:rPr>
          <w:rFonts w:cstheme="minorHAnsi"/>
          <w:lang w:val="en-IN"/>
        </w:rPr>
        <w:tab/>
      </w:r>
    </w:p>
    <w:p w:rsidR="00A41D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5) Detector</w:t>
      </w:r>
    </w:p>
    <w:p w:rsidR="00A41D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6) Output data-processing unit</w:t>
      </w:r>
    </w:p>
    <w:p w:rsidR="003155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In HPLC, a liquid containing the sample is injected at one end of the column. The column contains a medium which helps separate the molecules in the liquid. High pressure is used to overcome the resistance to flow. As the liquid flows, some molecules move faster than others due to differences in solubility and polarity. The exact time that each molecule takes to flow through the column is measured by a detector. The retention time is calculated. An internal standard, a compound similar in structure to the specimen to be analyzed, is also run through the column. By comparing the retention time of the sample to the internal standard, the molecule (or drug) can be identified. The concentration of the molecule can also be determined from the peaks produced during the run. The peak size is used to calculate the quantity of the drug in the specimen.</w:t>
      </w:r>
    </w:p>
    <w:p w:rsidR="00A41DAF" w:rsidRPr="002A5960" w:rsidRDefault="00A41DAF" w:rsidP="00B52EC7">
      <w:pPr>
        <w:autoSpaceDE w:val="0"/>
        <w:autoSpaceDN w:val="0"/>
        <w:adjustRightInd w:val="0"/>
        <w:spacing w:after="0" w:line="360" w:lineRule="auto"/>
        <w:jc w:val="both"/>
        <w:rPr>
          <w:rFonts w:eastAsia="Times-Roman" w:cstheme="minorHAnsi"/>
          <w:b/>
          <w:color w:val="000000"/>
        </w:rPr>
      </w:pPr>
    </w:p>
    <w:p w:rsidR="00B97DC8" w:rsidRPr="002A5960" w:rsidRDefault="00B97DC8" w:rsidP="00B52EC7">
      <w:pPr>
        <w:autoSpaceDE w:val="0"/>
        <w:autoSpaceDN w:val="0"/>
        <w:adjustRightInd w:val="0"/>
        <w:spacing w:after="0" w:line="360" w:lineRule="auto"/>
        <w:jc w:val="both"/>
        <w:rPr>
          <w:rFonts w:eastAsia="Times-Roman" w:cstheme="minorHAnsi"/>
          <w:b/>
          <w:color w:val="000000"/>
        </w:rPr>
      </w:pPr>
      <w:r w:rsidRPr="002A5960">
        <w:rPr>
          <w:rFonts w:eastAsia="Times-Roman" w:cstheme="minorHAnsi"/>
          <w:b/>
          <w:color w:val="000000"/>
        </w:rPr>
        <w:t xml:space="preserve"> FPIA:</w:t>
      </w:r>
    </w:p>
    <w:p w:rsidR="003155AF" w:rsidRPr="002A5960" w:rsidRDefault="003155AF" w:rsidP="00B52EC7">
      <w:pPr>
        <w:autoSpaceDE w:val="0"/>
        <w:autoSpaceDN w:val="0"/>
        <w:adjustRightInd w:val="0"/>
        <w:spacing w:after="0" w:line="360" w:lineRule="auto"/>
        <w:jc w:val="both"/>
        <w:rPr>
          <w:rFonts w:cstheme="minorHAnsi"/>
          <w:lang w:val="en-IN"/>
        </w:rPr>
      </w:pPr>
      <w:r w:rsidRPr="002A5960">
        <w:rPr>
          <w:rFonts w:cstheme="minorHAnsi"/>
          <w:lang w:val="en-IN"/>
        </w:rPr>
        <w:lastRenderedPageBreak/>
        <w:t>Fluorescence Polarization Immunoassay: This method uses a fluorescent molecule as the label instead of an enzyme, making it more sensitive. In FPIA, the patient sample is incubated with a known quantity of the fluorescent-labeled drug and an antibody specific for the drug. As in EMIT, the labeled and unlabeled drugs compete for the binding sites of the antibody. Polarized light is emitted in certain angles depending on whether the fluorescent-labeled drug is bound to antibodies or not. Since this is a competitive assay, the greater the amount of drug in the sample, the lower the amount of fluorescence.</w:t>
      </w:r>
    </w:p>
    <w:p w:rsidR="00A41DAF" w:rsidRPr="002A5960" w:rsidRDefault="00A41DAF" w:rsidP="00B52EC7">
      <w:pPr>
        <w:autoSpaceDE w:val="0"/>
        <w:autoSpaceDN w:val="0"/>
        <w:adjustRightInd w:val="0"/>
        <w:spacing w:after="0" w:line="360" w:lineRule="auto"/>
        <w:jc w:val="both"/>
        <w:rPr>
          <w:rFonts w:cstheme="minorHAnsi"/>
          <w:b/>
          <w:bCs/>
          <w:lang w:val="en-IN"/>
        </w:rPr>
      </w:pPr>
    </w:p>
    <w:p w:rsidR="00A41DAF" w:rsidRPr="002A5960" w:rsidRDefault="00A41DAF" w:rsidP="00B52EC7">
      <w:pPr>
        <w:autoSpaceDE w:val="0"/>
        <w:autoSpaceDN w:val="0"/>
        <w:adjustRightInd w:val="0"/>
        <w:spacing w:after="0" w:line="360" w:lineRule="auto"/>
        <w:jc w:val="both"/>
        <w:rPr>
          <w:rFonts w:cstheme="minorHAnsi"/>
          <w:b/>
          <w:bCs/>
          <w:lang w:val="en-IN"/>
        </w:rPr>
      </w:pPr>
      <w:r w:rsidRPr="002A5960">
        <w:rPr>
          <w:rFonts w:cstheme="minorHAnsi"/>
          <w:b/>
          <w:bCs/>
          <w:lang w:val="en-IN"/>
        </w:rPr>
        <w:t xml:space="preserve">EMIT: </w:t>
      </w:r>
    </w:p>
    <w:p w:rsidR="00A41DAF" w:rsidRPr="002A5960" w:rsidRDefault="00A41DAF" w:rsidP="00B52EC7">
      <w:pPr>
        <w:autoSpaceDE w:val="0"/>
        <w:autoSpaceDN w:val="0"/>
        <w:adjustRightInd w:val="0"/>
        <w:spacing w:after="0" w:line="360" w:lineRule="auto"/>
        <w:jc w:val="both"/>
        <w:rPr>
          <w:rFonts w:cstheme="minorHAnsi"/>
          <w:lang w:val="en-IN"/>
        </w:rPr>
      </w:pPr>
      <w:r w:rsidRPr="002A5960">
        <w:rPr>
          <w:rFonts w:cstheme="minorHAnsi"/>
          <w:lang w:val="en-IN"/>
        </w:rPr>
        <w:t>The EMIT (Enzyme Multiplied Immunoassay Technique) homogeneous enzyme immunoassay is a versatile methodology designed to measure microamounts of drugs and drug metabolites in human biological fluids.The EMIT technology is based on competition for the target analyte antibody binding sites. Analyte in the sample competes with the drug in the enzyme reagent that is labeled with G6PDH. Active enzyme G6PBH converts thecoenzyme (NAD) in the antibody reagent to NADH, resulting in a kinetic absorbance change that is measured photometrically.</w:t>
      </w:r>
    </w:p>
    <w:p w:rsidR="00C31BEF" w:rsidRPr="002A5960" w:rsidRDefault="00D81355" w:rsidP="00B52EC7">
      <w:pPr>
        <w:spacing w:before="100" w:beforeAutospacing="1" w:after="100" w:afterAutospacing="1" w:line="360" w:lineRule="auto"/>
        <w:jc w:val="both"/>
        <w:rPr>
          <w:rFonts w:eastAsia="Times New Roman" w:cstheme="minorHAnsi"/>
          <w:b/>
        </w:rPr>
      </w:pPr>
      <w:r w:rsidRPr="002A5960">
        <w:rPr>
          <w:rFonts w:eastAsia="Times New Roman" w:cstheme="minorHAnsi"/>
          <w:b/>
        </w:rPr>
        <w:t>Conclusion:</w:t>
      </w:r>
    </w:p>
    <w:p w:rsidR="00391B83" w:rsidRPr="002A5960" w:rsidRDefault="00E94531" w:rsidP="00B52EC7">
      <w:pPr>
        <w:autoSpaceDE w:val="0"/>
        <w:autoSpaceDN w:val="0"/>
        <w:adjustRightInd w:val="0"/>
        <w:spacing w:after="0" w:line="360" w:lineRule="auto"/>
        <w:jc w:val="both"/>
        <w:rPr>
          <w:rFonts w:eastAsia="Times New Roman" w:cstheme="minorHAnsi"/>
          <w:b/>
        </w:rPr>
      </w:pPr>
      <w:r w:rsidRPr="002A5960">
        <w:rPr>
          <w:rFonts w:eastAsia="Times-Roman" w:cstheme="minorHAnsi"/>
          <w:color w:val="000000"/>
        </w:rPr>
        <w:t xml:space="preserve">The unpredictable relationship between dose and </w:t>
      </w:r>
      <w:r w:rsidR="00AF2BEE" w:rsidRPr="002A5960">
        <w:rPr>
          <w:rFonts w:eastAsia="Times-Roman" w:cstheme="minorHAnsi"/>
          <w:color w:val="000000"/>
        </w:rPr>
        <w:t>lidocaine</w:t>
      </w:r>
      <w:r w:rsidR="00E82EDF" w:rsidRPr="002A5960">
        <w:rPr>
          <w:rFonts w:eastAsia="Times-Roman" w:cstheme="minorHAnsi"/>
          <w:color w:val="000000"/>
        </w:rPr>
        <w:t xml:space="preserve"> </w:t>
      </w:r>
      <w:r w:rsidRPr="002A5960">
        <w:rPr>
          <w:rFonts w:eastAsia="Times-Roman" w:cstheme="minorHAnsi"/>
          <w:color w:val="000000"/>
        </w:rPr>
        <w:t>concentration, its narrow therapeutic index, and</w:t>
      </w:r>
      <w:r w:rsidR="00E82EDF" w:rsidRPr="002A5960">
        <w:rPr>
          <w:rFonts w:eastAsia="Times-Roman" w:cstheme="minorHAnsi"/>
          <w:color w:val="000000"/>
        </w:rPr>
        <w:t xml:space="preserve"> </w:t>
      </w:r>
      <w:r w:rsidRPr="002A5960">
        <w:rPr>
          <w:rFonts w:eastAsia="Times-Roman" w:cstheme="minorHAnsi"/>
          <w:color w:val="000000"/>
        </w:rPr>
        <w:t>the presence of numerous clinically significant drug interactions</w:t>
      </w:r>
      <w:r w:rsidR="00E82EDF" w:rsidRPr="002A5960">
        <w:rPr>
          <w:rFonts w:eastAsia="Times-Roman" w:cstheme="minorHAnsi"/>
          <w:color w:val="000000"/>
        </w:rPr>
        <w:t xml:space="preserve"> </w:t>
      </w:r>
      <w:r w:rsidRPr="002A5960">
        <w:rPr>
          <w:rFonts w:eastAsia="Times-Roman" w:cstheme="minorHAnsi"/>
          <w:color w:val="000000"/>
        </w:rPr>
        <w:t>support the need to individualize and maintain therapy</w:t>
      </w:r>
      <w:r w:rsidR="00E82EDF" w:rsidRPr="002A5960">
        <w:rPr>
          <w:rFonts w:eastAsia="Times-Roman" w:cstheme="minorHAnsi"/>
          <w:color w:val="000000"/>
        </w:rPr>
        <w:t xml:space="preserve"> </w:t>
      </w:r>
      <w:r w:rsidRPr="002A5960">
        <w:rPr>
          <w:rFonts w:eastAsia="Times-Roman" w:cstheme="minorHAnsi"/>
          <w:color w:val="000000"/>
        </w:rPr>
        <w:t xml:space="preserve">using TDM. </w:t>
      </w:r>
      <w:r w:rsidR="00ED6A17" w:rsidRPr="002A5960">
        <w:rPr>
          <w:rFonts w:eastAsia="Times-Roman" w:cstheme="minorHAnsi"/>
        </w:rPr>
        <w:t>The ac</w:t>
      </w:r>
      <w:r w:rsidR="00AF2BEE" w:rsidRPr="002A5960">
        <w:rPr>
          <w:rFonts w:eastAsia="Times-Roman" w:cstheme="minorHAnsi"/>
        </w:rPr>
        <w:t>cepted therapeutic range for lidocaine</w:t>
      </w:r>
      <w:r w:rsidR="00ED6A17" w:rsidRPr="002A5960">
        <w:rPr>
          <w:rFonts w:eastAsia="Times-Roman" w:cstheme="minorHAnsi"/>
        </w:rPr>
        <w:t xml:space="preserve"> is </w:t>
      </w:r>
      <w:r w:rsidR="00AF2BEE" w:rsidRPr="002A5960">
        <w:rPr>
          <w:rFonts w:eastAsia="Times-Roman" w:cstheme="minorHAnsi"/>
        </w:rPr>
        <w:t>1.5–5</w:t>
      </w:r>
      <w:r w:rsidR="00ED6A17" w:rsidRPr="002A5960">
        <w:rPr>
          <w:rFonts w:eastAsia="Times-Roman" w:cstheme="minorHAnsi"/>
        </w:rPr>
        <w:t xml:space="preserve"> </w:t>
      </w:r>
      <w:r w:rsidR="00ED6A17" w:rsidRPr="002A5960">
        <w:rPr>
          <w:rFonts w:cstheme="minorHAnsi"/>
        </w:rPr>
        <w:t>μ</w:t>
      </w:r>
      <w:r w:rsidR="00ED6A17" w:rsidRPr="002A5960">
        <w:rPr>
          <w:rFonts w:eastAsia="Times-Roman" w:cstheme="minorHAnsi"/>
        </w:rPr>
        <w:t>g/mL when the drug is used for the treatment of seizures and neuralgia.</w:t>
      </w:r>
      <w:r w:rsidR="00ED6A17" w:rsidRPr="002A5960">
        <w:rPr>
          <w:rFonts w:eastAsia="Times-Roman" w:cstheme="minorHAnsi"/>
          <w:color w:val="000000"/>
        </w:rPr>
        <w:t xml:space="preserve"> </w:t>
      </w:r>
    </w:p>
    <w:p w:rsidR="002D2AC8" w:rsidRPr="002A5960" w:rsidRDefault="00D81355" w:rsidP="00B52EC7">
      <w:pPr>
        <w:spacing w:before="100" w:beforeAutospacing="1" w:after="100" w:afterAutospacing="1" w:line="360" w:lineRule="auto"/>
        <w:jc w:val="both"/>
        <w:rPr>
          <w:rFonts w:eastAsia="Times New Roman" w:cstheme="minorHAnsi"/>
          <w:b/>
        </w:rPr>
      </w:pPr>
      <w:r w:rsidRPr="002A5960">
        <w:rPr>
          <w:rFonts w:eastAsia="Times New Roman" w:cstheme="minorHAnsi"/>
          <w:b/>
        </w:rPr>
        <w:t>References:</w:t>
      </w:r>
    </w:p>
    <w:p w:rsidR="007B1AA7" w:rsidRPr="002A5960" w:rsidRDefault="007B1AA7" w:rsidP="00B52EC7">
      <w:pPr>
        <w:pStyle w:val="ListParagraph"/>
        <w:numPr>
          <w:ilvl w:val="0"/>
          <w:numId w:val="3"/>
        </w:numPr>
        <w:spacing w:before="100" w:beforeAutospacing="1" w:after="100" w:afterAutospacing="1" w:line="360" w:lineRule="auto"/>
        <w:jc w:val="both"/>
        <w:rPr>
          <w:rFonts w:asciiTheme="minorHAnsi" w:hAnsiTheme="minorHAnsi" w:cstheme="minorHAnsi"/>
          <w:sz w:val="22"/>
          <w:szCs w:val="22"/>
        </w:rPr>
      </w:pPr>
      <w:r w:rsidRPr="002A5960">
        <w:rPr>
          <w:rFonts w:asciiTheme="minorHAnsi" w:hAnsiTheme="minorHAnsi" w:cstheme="minorHAnsi"/>
          <w:sz w:val="22"/>
          <w:szCs w:val="22"/>
        </w:rPr>
        <w:t xml:space="preserve">Lacy CF, </w:t>
      </w:r>
      <w:r w:rsidR="00903D5E" w:rsidRPr="002A5960">
        <w:rPr>
          <w:rFonts w:asciiTheme="minorHAnsi" w:hAnsiTheme="minorHAnsi" w:cstheme="minorHAnsi"/>
          <w:sz w:val="22"/>
          <w:szCs w:val="22"/>
        </w:rPr>
        <w:t>Armstrong LL, Goldman MP, et al editors.</w:t>
      </w:r>
      <w:r w:rsidRPr="002A5960">
        <w:rPr>
          <w:rFonts w:asciiTheme="minorHAnsi" w:hAnsiTheme="minorHAnsi" w:cstheme="minorHAnsi"/>
          <w:sz w:val="22"/>
          <w:szCs w:val="22"/>
        </w:rPr>
        <w:t xml:space="preserve"> Drug Information Handbook, 18th ed,</w:t>
      </w:r>
      <w:r w:rsidR="00B72313" w:rsidRPr="002A5960">
        <w:rPr>
          <w:rFonts w:asciiTheme="minorHAnsi" w:hAnsiTheme="minorHAnsi" w:cstheme="minorHAnsi"/>
          <w:sz w:val="22"/>
          <w:szCs w:val="22"/>
        </w:rPr>
        <w:t xml:space="preserve"> Hudson OH: Lexi-Comp [ser</w:t>
      </w:r>
      <w:r w:rsidR="00A41DAF" w:rsidRPr="002A5960">
        <w:rPr>
          <w:rFonts w:asciiTheme="minorHAnsi" w:hAnsiTheme="minorHAnsi" w:cstheme="minorHAnsi"/>
          <w:sz w:val="22"/>
          <w:szCs w:val="22"/>
        </w:rPr>
        <w:t>ial online] 2009 [cited 2010 Dec</w:t>
      </w:r>
      <w:r w:rsidR="00B72313" w:rsidRPr="002A5960">
        <w:rPr>
          <w:rFonts w:asciiTheme="minorHAnsi" w:hAnsiTheme="minorHAnsi" w:cstheme="minorHAnsi"/>
          <w:sz w:val="22"/>
          <w:szCs w:val="22"/>
        </w:rPr>
        <w:t xml:space="preserve"> 15] Available from: URL:</w:t>
      </w:r>
      <w:r w:rsidRPr="002A5960">
        <w:rPr>
          <w:rFonts w:asciiTheme="minorHAnsi" w:hAnsiTheme="minorHAnsi" w:cstheme="minorHAnsi"/>
          <w:sz w:val="22"/>
          <w:szCs w:val="22"/>
        </w:rPr>
        <w:t xml:space="preserve"> </w:t>
      </w:r>
      <w:hyperlink r:id="rId7" w:history="1">
        <w:r w:rsidRPr="002A5960">
          <w:rPr>
            <w:rStyle w:val="Hyperlink"/>
            <w:rFonts w:asciiTheme="minorHAnsi" w:hAnsiTheme="minorHAnsi" w:cstheme="minorHAnsi"/>
            <w:sz w:val="22"/>
            <w:szCs w:val="22"/>
          </w:rPr>
          <w:t>http://online.lexi.com/crlsql/servlet/crlonline</w:t>
        </w:r>
      </w:hyperlink>
    </w:p>
    <w:p w:rsidR="007B1AA7" w:rsidRPr="002A5960" w:rsidRDefault="00903D5E" w:rsidP="00B52EC7">
      <w:pPr>
        <w:pStyle w:val="ListParagraph"/>
        <w:numPr>
          <w:ilvl w:val="0"/>
          <w:numId w:val="3"/>
        </w:numPr>
        <w:spacing w:before="100" w:beforeAutospacing="1" w:after="100" w:afterAutospacing="1" w:line="360" w:lineRule="auto"/>
        <w:jc w:val="both"/>
        <w:rPr>
          <w:rFonts w:asciiTheme="minorHAnsi" w:hAnsiTheme="minorHAnsi" w:cstheme="minorHAnsi"/>
          <w:sz w:val="22"/>
          <w:szCs w:val="22"/>
        </w:rPr>
      </w:pPr>
      <w:r w:rsidRPr="002A5960">
        <w:rPr>
          <w:rFonts w:asciiTheme="minorHAnsi" w:hAnsiTheme="minorHAnsi" w:cstheme="minorHAnsi"/>
          <w:sz w:val="22"/>
          <w:szCs w:val="22"/>
        </w:rPr>
        <w:t>Patsalos NP, Berry JD, et</w:t>
      </w:r>
      <w:r w:rsidR="00A41DAF" w:rsidRPr="002A5960">
        <w:rPr>
          <w:rFonts w:asciiTheme="minorHAnsi" w:hAnsiTheme="minorHAnsi" w:cstheme="minorHAnsi"/>
          <w:sz w:val="22"/>
          <w:szCs w:val="22"/>
        </w:rPr>
        <w:t xml:space="preserve"> al editors. B</w:t>
      </w:r>
      <w:r w:rsidRPr="002A5960">
        <w:rPr>
          <w:rFonts w:asciiTheme="minorHAnsi" w:hAnsiTheme="minorHAnsi" w:cstheme="minorHAnsi"/>
          <w:sz w:val="22"/>
          <w:szCs w:val="22"/>
        </w:rPr>
        <w:t xml:space="preserve">est practice guidelines for therapeutic drug monitoring. </w:t>
      </w:r>
      <w:r w:rsidR="00835D61" w:rsidRPr="002A5960">
        <w:rPr>
          <w:rFonts w:asciiTheme="minorHAnsi" w:hAnsiTheme="minorHAnsi" w:cstheme="minorHAnsi"/>
          <w:sz w:val="22"/>
          <w:szCs w:val="22"/>
        </w:rPr>
        <w:t xml:space="preserve">Epilepsia </w:t>
      </w:r>
      <w:r w:rsidRPr="002A5960">
        <w:rPr>
          <w:rFonts w:asciiTheme="minorHAnsi" w:hAnsiTheme="minorHAnsi" w:cstheme="minorHAnsi"/>
          <w:sz w:val="22"/>
          <w:szCs w:val="22"/>
        </w:rPr>
        <w:t>[serial online] 2008 J</w:t>
      </w:r>
      <w:r w:rsidR="00A41DAF" w:rsidRPr="002A5960">
        <w:rPr>
          <w:rFonts w:asciiTheme="minorHAnsi" w:hAnsiTheme="minorHAnsi" w:cstheme="minorHAnsi"/>
          <w:sz w:val="22"/>
          <w:szCs w:val="22"/>
        </w:rPr>
        <w:t>an 28 [cited 2010 Dec</w:t>
      </w:r>
      <w:r w:rsidRPr="002A5960">
        <w:rPr>
          <w:rFonts w:asciiTheme="minorHAnsi" w:hAnsiTheme="minorHAnsi" w:cstheme="minorHAnsi"/>
          <w:sz w:val="22"/>
          <w:szCs w:val="22"/>
        </w:rPr>
        <w:t xml:space="preserve"> 15] Available from: URL: </w:t>
      </w:r>
      <w:hyperlink r:id="rId8" w:history="1">
        <w:r w:rsidR="00535FAD" w:rsidRPr="002A5960">
          <w:rPr>
            <w:rStyle w:val="Hyperlink"/>
            <w:rFonts w:asciiTheme="minorHAnsi" w:hAnsiTheme="minorHAnsi" w:cstheme="minorHAnsi"/>
            <w:sz w:val="22"/>
            <w:szCs w:val="22"/>
          </w:rPr>
          <w:t>http://onlinelibrary.wiley.com/doi/10.1111/j.1528-1167.2008.01561.x/full</w:t>
        </w:r>
      </w:hyperlink>
    </w:p>
    <w:p w:rsidR="007B1AA7" w:rsidRPr="002A5960" w:rsidRDefault="00A41DAF" w:rsidP="00B52EC7">
      <w:pPr>
        <w:pStyle w:val="ListParagraph"/>
        <w:numPr>
          <w:ilvl w:val="0"/>
          <w:numId w:val="3"/>
        </w:numPr>
        <w:spacing w:before="100" w:beforeAutospacing="1" w:after="100" w:afterAutospacing="1" w:line="360" w:lineRule="auto"/>
        <w:jc w:val="both"/>
        <w:rPr>
          <w:rFonts w:asciiTheme="minorHAnsi" w:hAnsiTheme="minorHAnsi" w:cstheme="minorHAnsi"/>
          <w:sz w:val="22"/>
          <w:szCs w:val="22"/>
        </w:rPr>
      </w:pPr>
      <w:r w:rsidRPr="002A5960">
        <w:rPr>
          <w:rFonts w:asciiTheme="minorHAnsi" w:hAnsiTheme="minorHAnsi" w:cstheme="minorHAnsi"/>
          <w:sz w:val="22"/>
          <w:szCs w:val="22"/>
        </w:rPr>
        <w:t>lidocaine</w:t>
      </w:r>
      <w:r w:rsidR="004D0FC9" w:rsidRPr="002A5960">
        <w:rPr>
          <w:rFonts w:asciiTheme="minorHAnsi" w:hAnsiTheme="minorHAnsi" w:cstheme="minorHAnsi"/>
          <w:sz w:val="22"/>
          <w:szCs w:val="22"/>
        </w:rPr>
        <w:t xml:space="preserve"> level. Lab tests and Diagnostic Procedures. [serial online] 2008 July 15 [cited 2010 Aug 15] Available from: URL: </w:t>
      </w:r>
      <w:hyperlink r:id="rId9" w:history="1">
        <w:r w:rsidR="007B1AA7" w:rsidRPr="002A5960">
          <w:rPr>
            <w:rStyle w:val="Hyperlink"/>
            <w:rFonts w:asciiTheme="minorHAnsi" w:hAnsiTheme="minorHAnsi" w:cstheme="minorHAnsi"/>
            <w:sz w:val="22"/>
            <w:szCs w:val="22"/>
          </w:rPr>
          <w:t>http://online.lexi.com/crlsql/servlet/crlonline?a=tox</w:t>
        </w:r>
      </w:hyperlink>
    </w:p>
    <w:p w:rsidR="007B1AA7" w:rsidRPr="002A5960" w:rsidRDefault="004D0FC9" w:rsidP="00B52EC7">
      <w:pPr>
        <w:pStyle w:val="ListParagraph"/>
        <w:numPr>
          <w:ilvl w:val="0"/>
          <w:numId w:val="3"/>
        </w:numPr>
        <w:spacing w:before="100" w:beforeAutospacing="1" w:after="100" w:afterAutospacing="1" w:line="360" w:lineRule="auto"/>
        <w:jc w:val="both"/>
        <w:rPr>
          <w:rFonts w:asciiTheme="minorHAnsi" w:hAnsiTheme="minorHAnsi" w:cstheme="minorHAnsi"/>
          <w:sz w:val="22"/>
          <w:szCs w:val="22"/>
        </w:rPr>
      </w:pPr>
      <w:r w:rsidRPr="002A5960">
        <w:rPr>
          <w:rFonts w:asciiTheme="minorHAnsi" w:hAnsiTheme="minorHAnsi" w:cstheme="minorHAnsi"/>
          <w:sz w:val="22"/>
          <w:szCs w:val="22"/>
        </w:rPr>
        <w:lastRenderedPageBreak/>
        <w:t>Zheng H, Zheng J, et al</w:t>
      </w:r>
      <w:r w:rsidR="00A41DAF" w:rsidRPr="002A5960">
        <w:rPr>
          <w:rFonts w:asciiTheme="minorHAnsi" w:hAnsiTheme="minorHAnsi" w:cstheme="minorHAnsi"/>
          <w:sz w:val="22"/>
          <w:szCs w:val="22"/>
        </w:rPr>
        <w:t xml:space="preserve"> editors. Determination of lidocaine in Human Serum </w:t>
      </w:r>
      <w:r w:rsidRPr="002A5960">
        <w:rPr>
          <w:rFonts w:asciiTheme="minorHAnsi" w:hAnsiTheme="minorHAnsi" w:cstheme="minorHAnsi"/>
          <w:sz w:val="22"/>
          <w:szCs w:val="22"/>
        </w:rPr>
        <w:t xml:space="preserve">. </w:t>
      </w:r>
      <w:r w:rsidR="00835D61" w:rsidRPr="002A5960">
        <w:rPr>
          <w:rFonts w:asciiTheme="minorHAnsi" w:hAnsiTheme="minorHAnsi" w:cstheme="minorHAnsi"/>
          <w:sz w:val="22"/>
          <w:szCs w:val="22"/>
        </w:rPr>
        <w:t xml:space="preserve">MPR </w:t>
      </w:r>
      <w:r w:rsidRPr="002A5960">
        <w:rPr>
          <w:rFonts w:asciiTheme="minorHAnsi" w:hAnsiTheme="minorHAnsi" w:cstheme="minorHAnsi"/>
          <w:sz w:val="22"/>
          <w:szCs w:val="22"/>
        </w:rPr>
        <w:t>[serial onl</w:t>
      </w:r>
      <w:r w:rsidR="00A41DAF" w:rsidRPr="002A5960">
        <w:rPr>
          <w:rFonts w:asciiTheme="minorHAnsi" w:hAnsiTheme="minorHAnsi" w:cstheme="minorHAnsi"/>
          <w:sz w:val="22"/>
          <w:szCs w:val="22"/>
        </w:rPr>
        <w:t>ine] 2008 Nov 01 [cited 2010 Dec</w:t>
      </w:r>
      <w:r w:rsidRPr="002A5960">
        <w:rPr>
          <w:rFonts w:asciiTheme="minorHAnsi" w:hAnsiTheme="minorHAnsi" w:cstheme="minorHAnsi"/>
          <w:sz w:val="22"/>
          <w:szCs w:val="22"/>
        </w:rPr>
        <w:t xml:space="preserve"> 15] Available from: URL: </w:t>
      </w:r>
      <w:hyperlink r:id="rId10" w:history="1">
        <w:r w:rsidR="00250CE2" w:rsidRPr="002A5960">
          <w:rPr>
            <w:rStyle w:val="Hyperlink"/>
            <w:rFonts w:asciiTheme="minorHAnsi" w:hAnsiTheme="minorHAnsi" w:cstheme="minorHAnsi"/>
            <w:sz w:val="22"/>
            <w:szCs w:val="22"/>
          </w:rPr>
          <w:t>http://tasusa.org/Documents/mpr_2009_02_2.pdf</w:t>
        </w:r>
      </w:hyperlink>
    </w:p>
    <w:p w:rsidR="007B631A" w:rsidRPr="002A5960" w:rsidRDefault="00835D61" w:rsidP="00B52EC7">
      <w:pPr>
        <w:pStyle w:val="ListParagraph"/>
        <w:numPr>
          <w:ilvl w:val="0"/>
          <w:numId w:val="3"/>
        </w:numPr>
        <w:spacing w:before="100" w:beforeAutospacing="1" w:after="100" w:afterAutospacing="1" w:line="360" w:lineRule="auto"/>
        <w:jc w:val="both"/>
        <w:rPr>
          <w:rFonts w:asciiTheme="minorHAnsi" w:hAnsiTheme="minorHAnsi" w:cstheme="minorHAnsi"/>
          <w:sz w:val="22"/>
          <w:szCs w:val="22"/>
        </w:rPr>
      </w:pPr>
      <w:r w:rsidRPr="002A5960">
        <w:rPr>
          <w:rFonts w:asciiTheme="minorHAnsi" w:hAnsiTheme="minorHAnsi" w:cstheme="minorHAnsi"/>
          <w:sz w:val="22"/>
          <w:szCs w:val="22"/>
        </w:rPr>
        <w:t>Nadkarni VV, Dalvi SS, Khare SD. TDM using rapid HPLC. NA [ser</w:t>
      </w:r>
      <w:r w:rsidR="00A41DAF" w:rsidRPr="002A5960">
        <w:rPr>
          <w:rFonts w:asciiTheme="minorHAnsi" w:hAnsiTheme="minorHAnsi" w:cstheme="minorHAnsi"/>
          <w:sz w:val="22"/>
          <w:szCs w:val="22"/>
        </w:rPr>
        <w:t>ial online] 2004 [cited 2010 Dec</w:t>
      </w:r>
      <w:r w:rsidRPr="002A5960">
        <w:rPr>
          <w:rFonts w:asciiTheme="minorHAnsi" w:hAnsiTheme="minorHAnsi" w:cstheme="minorHAnsi"/>
          <w:sz w:val="22"/>
          <w:szCs w:val="22"/>
        </w:rPr>
        <w:t xml:space="preserve"> 15] Available from: URL: </w:t>
      </w:r>
    </w:p>
    <w:p w:rsidR="00535FAD" w:rsidRPr="002A5960" w:rsidRDefault="00C81505" w:rsidP="00B52EC7">
      <w:pPr>
        <w:pStyle w:val="ListParagraph"/>
        <w:spacing w:before="100" w:beforeAutospacing="1" w:after="100" w:afterAutospacing="1" w:line="360" w:lineRule="auto"/>
        <w:jc w:val="both"/>
        <w:rPr>
          <w:rFonts w:asciiTheme="minorHAnsi" w:hAnsiTheme="minorHAnsi" w:cstheme="minorHAnsi"/>
          <w:sz w:val="22"/>
          <w:szCs w:val="22"/>
        </w:rPr>
      </w:pPr>
      <w:hyperlink r:id="rId11" w:history="1">
        <w:r w:rsidR="00535FAD" w:rsidRPr="002A5960">
          <w:rPr>
            <w:rStyle w:val="Hyperlink"/>
            <w:rFonts w:asciiTheme="minorHAnsi" w:hAnsiTheme="minorHAnsi" w:cstheme="minorHAnsi"/>
            <w:sz w:val="22"/>
            <w:szCs w:val="22"/>
          </w:rPr>
          <w:t>http://www.neurology-asia.org/articles/20043_120.pdf</w:t>
        </w:r>
      </w:hyperlink>
    </w:p>
    <w:p w:rsidR="00D42675" w:rsidRPr="002A5960" w:rsidRDefault="00D42675" w:rsidP="00B52EC7">
      <w:pPr>
        <w:spacing w:before="100" w:beforeAutospacing="1" w:after="100" w:afterAutospacing="1" w:line="360" w:lineRule="auto"/>
        <w:jc w:val="both"/>
        <w:rPr>
          <w:rFonts w:eastAsia="Times New Roman" w:cstheme="minorHAnsi"/>
          <w:b/>
        </w:rPr>
      </w:pPr>
    </w:p>
    <w:sectPr w:rsidR="00D42675" w:rsidRPr="002A5960" w:rsidSect="000968B3">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5C5" w:rsidRDefault="00B205C5" w:rsidP="00484360">
      <w:pPr>
        <w:spacing w:after="0" w:line="240" w:lineRule="auto"/>
      </w:pPr>
      <w:r>
        <w:separator/>
      </w:r>
    </w:p>
  </w:endnote>
  <w:endnote w:type="continuationSeparator" w:id="1">
    <w:p w:rsidR="00B205C5" w:rsidRDefault="00B205C5" w:rsidP="00484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Lath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5C5" w:rsidRDefault="00B205C5" w:rsidP="00484360">
      <w:pPr>
        <w:spacing w:after="0" w:line="240" w:lineRule="auto"/>
      </w:pPr>
      <w:r>
        <w:separator/>
      </w:r>
    </w:p>
  </w:footnote>
  <w:footnote w:type="continuationSeparator" w:id="1">
    <w:p w:rsidR="00B205C5" w:rsidRDefault="00B205C5" w:rsidP="00484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910"/>
      <w:docPartObj>
        <w:docPartGallery w:val="Page Numbers (Top of Page)"/>
        <w:docPartUnique/>
      </w:docPartObj>
    </w:sdtPr>
    <w:sdtContent>
      <w:p w:rsidR="00484360" w:rsidRDefault="00C81505">
        <w:pPr>
          <w:pStyle w:val="Header"/>
          <w:jc w:val="right"/>
        </w:pPr>
        <w:fldSimple w:instr=" PAGE   \* MERGEFORMAT ">
          <w:r w:rsidR="002A5960">
            <w:rPr>
              <w:noProof/>
            </w:rPr>
            <w:t>4</w:t>
          </w:r>
        </w:fldSimple>
      </w:p>
    </w:sdtContent>
  </w:sdt>
  <w:p w:rsidR="00484360" w:rsidRDefault="00484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72EA"/>
    <w:multiLevelType w:val="multilevel"/>
    <w:tmpl w:val="8542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D6F62"/>
    <w:multiLevelType w:val="hybridMultilevel"/>
    <w:tmpl w:val="8F7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F3F31"/>
    <w:multiLevelType w:val="hybridMultilevel"/>
    <w:tmpl w:val="694E5C90"/>
    <w:lvl w:ilvl="0" w:tplc="53705D60">
      <w:start w:val="1"/>
      <w:numFmt w:val="bullet"/>
      <w:lvlText w:val=""/>
      <w:lvlJc w:val="left"/>
      <w:pPr>
        <w:tabs>
          <w:tab w:val="num" w:pos="720"/>
        </w:tabs>
        <w:ind w:left="720" w:hanging="360"/>
      </w:pPr>
      <w:rPr>
        <w:rFonts w:ascii="Wingdings 2" w:hAnsi="Wingdings 2" w:hint="default"/>
      </w:rPr>
    </w:lvl>
    <w:lvl w:ilvl="1" w:tplc="81CCDA2A" w:tentative="1">
      <w:start w:val="1"/>
      <w:numFmt w:val="bullet"/>
      <w:lvlText w:val=""/>
      <w:lvlJc w:val="left"/>
      <w:pPr>
        <w:tabs>
          <w:tab w:val="num" w:pos="1440"/>
        </w:tabs>
        <w:ind w:left="1440" w:hanging="360"/>
      </w:pPr>
      <w:rPr>
        <w:rFonts w:ascii="Wingdings 2" w:hAnsi="Wingdings 2" w:hint="default"/>
      </w:rPr>
    </w:lvl>
    <w:lvl w:ilvl="2" w:tplc="18722D24" w:tentative="1">
      <w:start w:val="1"/>
      <w:numFmt w:val="bullet"/>
      <w:lvlText w:val=""/>
      <w:lvlJc w:val="left"/>
      <w:pPr>
        <w:tabs>
          <w:tab w:val="num" w:pos="2160"/>
        </w:tabs>
        <w:ind w:left="2160" w:hanging="360"/>
      </w:pPr>
      <w:rPr>
        <w:rFonts w:ascii="Wingdings 2" w:hAnsi="Wingdings 2" w:hint="default"/>
      </w:rPr>
    </w:lvl>
    <w:lvl w:ilvl="3" w:tplc="25F0E298" w:tentative="1">
      <w:start w:val="1"/>
      <w:numFmt w:val="bullet"/>
      <w:lvlText w:val=""/>
      <w:lvlJc w:val="left"/>
      <w:pPr>
        <w:tabs>
          <w:tab w:val="num" w:pos="2880"/>
        </w:tabs>
        <w:ind w:left="2880" w:hanging="360"/>
      </w:pPr>
      <w:rPr>
        <w:rFonts w:ascii="Wingdings 2" w:hAnsi="Wingdings 2" w:hint="default"/>
      </w:rPr>
    </w:lvl>
    <w:lvl w:ilvl="4" w:tplc="7DE42454" w:tentative="1">
      <w:start w:val="1"/>
      <w:numFmt w:val="bullet"/>
      <w:lvlText w:val=""/>
      <w:lvlJc w:val="left"/>
      <w:pPr>
        <w:tabs>
          <w:tab w:val="num" w:pos="3600"/>
        </w:tabs>
        <w:ind w:left="3600" w:hanging="360"/>
      </w:pPr>
      <w:rPr>
        <w:rFonts w:ascii="Wingdings 2" w:hAnsi="Wingdings 2" w:hint="default"/>
      </w:rPr>
    </w:lvl>
    <w:lvl w:ilvl="5" w:tplc="22BAA04C" w:tentative="1">
      <w:start w:val="1"/>
      <w:numFmt w:val="bullet"/>
      <w:lvlText w:val=""/>
      <w:lvlJc w:val="left"/>
      <w:pPr>
        <w:tabs>
          <w:tab w:val="num" w:pos="4320"/>
        </w:tabs>
        <w:ind w:left="4320" w:hanging="360"/>
      </w:pPr>
      <w:rPr>
        <w:rFonts w:ascii="Wingdings 2" w:hAnsi="Wingdings 2" w:hint="default"/>
      </w:rPr>
    </w:lvl>
    <w:lvl w:ilvl="6" w:tplc="F4E6BFDA" w:tentative="1">
      <w:start w:val="1"/>
      <w:numFmt w:val="bullet"/>
      <w:lvlText w:val=""/>
      <w:lvlJc w:val="left"/>
      <w:pPr>
        <w:tabs>
          <w:tab w:val="num" w:pos="5040"/>
        </w:tabs>
        <w:ind w:left="5040" w:hanging="360"/>
      </w:pPr>
      <w:rPr>
        <w:rFonts w:ascii="Wingdings 2" w:hAnsi="Wingdings 2" w:hint="default"/>
      </w:rPr>
    </w:lvl>
    <w:lvl w:ilvl="7" w:tplc="AD44B99C" w:tentative="1">
      <w:start w:val="1"/>
      <w:numFmt w:val="bullet"/>
      <w:lvlText w:val=""/>
      <w:lvlJc w:val="left"/>
      <w:pPr>
        <w:tabs>
          <w:tab w:val="num" w:pos="5760"/>
        </w:tabs>
        <w:ind w:left="5760" w:hanging="360"/>
      </w:pPr>
      <w:rPr>
        <w:rFonts w:ascii="Wingdings 2" w:hAnsi="Wingdings 2" w:hint="default"/>
      </w:rPr>
    </w:lvl>
    <w:lvl w:ilvl="8" w:tplc="3726228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C642D0"/>
    <w:rsid w:val="00034146"/>
    <w:rsid w:val="00077B2A"/>
    <w:rsid w:val="000968B3"/>
    <w:rsid w:val="00096C7E"/>
    <w:rsid w:val="000B5629"/>
    <w:rsid w:val="000C18AF"/>
    <w:rsid w:val="001463C9"/>
    <w:rsid w:val="00166AB1"/>
    <w:rsid w:val="001A186F"/>
    <w:rsid w:val="00212641"/>
    <w:rsid w:val="00227765"/>
    <w:rsid w:val="00250CE2"/>
    <w:rsid w:val="00285FCE"/>
    <w:rsid w:val="002A5960"/>
    <w:rsid w:val="002D2AC8"/>
    <w:rsid w:val="002D7573"/>
    <w:rsid w:val="002F7C58"/>
    <w:rsid w:val="003155AF"/>
    <w:rsid w:val="003218BD"/>
    <w:rsid w:val="00362FA5"/>
    <w:rsid w:val="00373381"/>
    <w:rsid w:val="00391B83"/>
    <w:rsid w:val="003C5944"/>
    <w:rsid w:val="003D04A0"/>
    <w:rsid w:val="003F1623"/>
    <w:rsid w:val="003F4C94"/>
    <w:rsid w:val="003F5788"/>
    <w:rsid w:val="00401DB9"/>
    <w:rsid w:val="00445297"/>
    <w:rsid w:val="00484360"/>
    <w:rsid w:val="004C6C0A"/>
    <w:rsid w:val="004D0FC9"/>
    <w:rsid w:val="004F1BD7"/>
    <w:rsid w:val="00501AF5"/>
    <w:rsid w:val="00535FAD"/>
    <w:rsid w:val="00555FDF"/>
    <w:rsid w:val="005B452E"/>
    <w:rsid w:val="005B61A4"/>
    <w:rsid w:val="0062316D"/>
    <w:rsid w:val="006633F6"/>
    <w:rsid w:val="006B20E3"/>
    <w:rsid w:val="006C7BB8"/>
    <w:rsid w:val="00712A9A"/>
    <w:rsid w:val="00724F72"/>
    <w:rsid w:val="00773A02"/>
    <w:rsid w:val="00780F3A"/>
    <w:rsid w:val="007A4BB2"/>
    <w:rsid w:val="007B1AA7"/>
    <w:rsid w:val="007B631A"/>
    <w:rsid w:val="00817636"/>
    <w:rsid w:val="00835D61"/>
    <w:rsid w:val="00841D45"/>
    <w:rsid w:val="00876C0B"/>
    <w:rsid w:val="008D2818"/>
    <w:rsid w:val="00903D5E"/>
    <w:rsid w:val="00924A04"/>
    <w:rsid w:val="009417B7"/>
    <w:rsid w:val="00970574"/>
    <w:rsid w:val="00976F6D"/>
    <w:rsid w:val="009830AC"/>
    <w:rsid w:val="00987B3F"/>
    <w:rsid w:val="009B5778"/>
    <w:rsid w:val="009C5A29"/>
    <w:rsid w:val="009D3D86"/>
    <w:rsid w:val="00A41DAF"/>
    <w:rsid w:val="00A70B8F"/>
    <w:rsid w:val="00AF2BEE"/>
    <w:rsid w:val="00B0599E"/>
    <w:rsid w:val="00B06FD7"/>
    <w:rsid w:val="00B1422C"/>
    <w:rsid w:val="00B205C5"/>
    <w:rsid w:val="00B3791A"/>
    <w:rsid w:val="00B52EC7"/>
    <w:rsid w:val="00B72313"/>
    <w:rsid w:val="00B97DC8"/>
    <w:rsid w:val="00BF10D2"/>
    <w:rsid w:val="00C31BEF"/>
    <w:rsid w:val="00C642D0"/>
    <w:rsid w:val="00C64694"/>
    <w:rsid w:val="00C81505"/>
    <w:rsid w:val="00C914AB"/>
    <w:rsid w:val="00C928B3"/>
    <w:rsid w:val="00CB70AD"/>
    <w:rsid w:val="00D05AF8"/>
    <w:rsid w:val="00D211FD"/>
    <w:rsid w:val="00D42675"/>
    <w:rsid w:val="00D6187A"/>
    <w:rsid w:val="00D81355"/>
    <w:rsid w:val="00DA60F5"/>
    <w:rsid w:val="00DE5093"/>
    <w:rsid w:val="00E078B0"/>
    <w:rsid w:val="00E12010"/>
    <w:rsid w:val="00E82EDF"/>
    <w:rsid w:val="00E94531"/>
    <w:rsid w:val="00EA40A2"/>
    <w:rsid w:val="00EC6EE5"/>
    <w:rsid w:val="00ED6A17"/>
    <w:rsid w:val="00F17309"/>
    <w:rsid w:val="00F71FAA"/>
    <w:rsid w:val="00F74044"/>
    <w:rsid w:val="00F93959"/>
    <w:rsid w:val="00FC1E11"/>
    <w:rsid w:val="00FC3756"/>
    <w:rsid w:val="00FD2A40"/>
    <w:rsid w:val="00FF0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D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6C0A"/>
    <w:pPr>
      <w:spacing w:after="0" w:line="240" w:lineRule="auto"/>
      <w:ind w:left="720"/>
      <w:contextualSpacing/>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4C6C0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s">
    <w:name w:val="labels"/>
    <w:basedOn w:val="DefaultParagraphFont"/>
    <w:rsid w:val="00B06FD7"/>
  </w:style>
  <w:style w:type="paragraph" w:styleId="NormalWeb">
    <w:name w:val="Normal (Web)"/>
    <w:basedOn w:val="Normal"/>
    <w:uiPriority w:val="99"/>
    <w:semiHidden/>
    <w:unhideWhenUsed/>
    <w:rsid w:val="00B06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D7"/>
    <w:rPr>
      <w:rFonts w:ascii="Tahoma" w:hAnsi="Tahoma" w:cs="Tahoma"/>
      <w:sz w:val="16"/>
      <w:szCs w:val="16"/>
    </w:rPr>
  </w:style>
  <w:style w:type="character" w:styleId="Hyperlink">
    <w:name w:val="Hyperlink"/>
    <w:basedOn w:val="DefaultParagraphFont"/>
    <w:uiPriority w:val="99"/>
    <w:unhideWhenUsed/>
    <w:rsid w:val="007B1AA7"/>
    <w:rPr>
      <w:color w:val="0000FF" w:themeColor="hyperlink"/>
      <w:u w:val="single"/>
    </w:rPr>
  </w:style>
  <w:style w:type="paragraph" w:styleId="Header">
    <w:name w:val="header"/>
    <w:basedOn w:val="Normal"/>
    <w:link w:val="HeaderChar"/>
    <w:uiPriority w:val="99"/>
    <w:unhideWhenUsed/>
    <w:rsid w:val="0048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60"/>
  </w:style>
  <w:style w:type="paragraph" w:styleId="Footer">
    <w:name w:val="footer"/>
    <w:basedOn w:val="Normal"/>
    <w:link w:val="FooterChar"/>
    <w:uiPriority w:val="99"/>
    <w:semiHidden/>
    <w:unhideWhenUsed/>
    <w:rsid w:val="004843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360"/>
  </w:style>
  <w:style w:type="paragraph" w:customStyle="1" w:styleId="mmpara">
    <w:name w:val="mmpara"/>
    <w:basedOn w:val="Normal"/>
    <w:rsid w:val="00D6187A"/>
    <w:pPr>
      <w:spacing w:after="288" w:line="336" w:lineRule="atLeast"/>
    </w:pPr>
    <w:rPr>
      <w:rFonts w:ascii="Arial" w:eastAsia="Times New Roman" w:hAnsi="Arial" w:cs="Arial"/>
      <w:color w:val="000000"/>
      <w:sz w:val="24"/>
      <w:szCs w:val="24"/>
      <w:lang w:val="en-IN" w:eastAsia="en-IN"/>
    </w:rPr>
  </w:style>
  <w:style w:type="character" w:customStyle="1" w:styleId="ipa1">
    <w:name w:val="ipa1"/>
    <w:basedOn w:val="DefaultParagraphFont"/>
    <w:rsid w:val="009830AC"/>
    <w:rPr>
      <w:rFonts w:ascii="Arial Unicode MS" w:eastAsia="Arial Unicode MS" w:hAnsi="Arial Unicode MS" w:cs="Arial Unicode MS" w:hint="eastAsia"/>
    </w:rPr>
  </w:style>
</w:styles>
</file>

<file path=word/webSettings.xml><?xml version="1.0" encoding="utf-8"?>
<w:webSettings xmlns:r="http://schemas.openxmlformats.org/officeDocument/2006/relationships" xmlns:w="http://schemas.openxmlformats.org/wordprocessingml/2006/main">
  <w:divs>
    <w:div w:id="1863486">
      <w:bodyDiv w:val="1"/>
      <w:marLeft w:val="0"/>
      <w:marRight w:val="0"/>
      <w:marTop w:val="0"/>
      <w:marBottom w:val="0"/>
      <w:divBdr>
        <w:top w:val="none" w:sz="0" w:space="0" w:color="auto"/>
        <w:left w:val="none" w:sz="0" w:space="0" w:color="auto"/>
        <w:bottom w:val="none" w:sz="0" w:space="0" w:color="auto"/>
        <w:right w:val="none" w:sz="0" w:space="0" w:color="auto"/>
      </w:divBdr>
      <w:divsChild>
        <w:div w:id="379936043">
          <w:marLeft w:val="0"/>
          <w:marRight w:val="0"/>
          <w:marTop w:val="0"/>
          <w:marBottom w:val="0"/>
          <w:divBdr>
            <w:top w:val="none" w:sz="0" w:space="0" w:color="auto"/>
            <w:left w:val="none" w:sz="0" w:space="0" w:color="auto"/>
            <w:bottom w:val="none" w:sz="0" w:space="0" w:color="auto"/>
            <w:right w:val="none" w:sz="0" w:space="0" w:color="auto"/>
          </w:divBdr>
        </w:div>
        <w:div w:id="1801727172">
          <w:marLeft w:val="0"/>
          <w:marRight w:val="0"/>
          <w:marTop w:val="0"/>
          <w:marBottom w:val="0"/>
          <w:divBdr>
            <w:top w:val="none" w:sz="0" w:space="0" w:color="auto"/>
            <w:left w:val="none" w:sz="0" w:space="0" w:color="auto"/>
            <w:bottom w:val="none" w:sz="0" w:space="0" w:color="auto"/>
            <w:right w:val="none" w:sz="0" w:space="0" w:color="auto"/>
          </w:divBdr>
        </w:div>
      </w:divsChild>
    </w:div>
    <w:div w:id="1743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528-1167.2008.01561.x/fu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lexi.com/crlsql/servlet/crlonli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logy-asia.org/articles/20043_120.pdf" TargetMode="External"/><Relationship Id="rId5" Type="http://schemas.openxmlformats.org/officeDocument/2006/relationships/footnotes" Target="footnotes.xml"/><Relationship Id="rId10" Type="http://schemas.openxmlformats.org/officeDocument/2006/relationships/hyperlink" Target="http://tasusa.org/Documents/mpr_2009_02_2.pdf" TargetMode="External"/><Relationship Id="rId4" Type="http://schemas.openxmlformats.org/officeDocument/2006/relationships/webSettings" Target="webSettings.xml"/><Relationship Id="rId9" Type="http://schemas.openxmlformats.org/officeDocument/2006/relationships/hyperlink" Target="http://online.lexi.com/crlsql/servlet/crlonline?a=t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Krunal</dc:creator>
  <cp:keywords/>
  <dc:description/>
  <cp:lastModifiedBy>Krunal</cp:lastModifiedBy>
  <cp:revision>72</cp:revision>
  <dcterms:created xsi:type="dcterms:W3CDTF">2010-09-19T13:35:00Z</dcterms:created>
  <dcterms:modified xsi:type="dcterms:W3CDTF">2011-04-18T03:11:00Z</dcterms:modified>
</cp:coreProperties>
</file>