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1A" w:rsidRPr="00E94531" w:rsidRDefault="004C6C0A" w:rsidP="00E94531">
      <w:pPr>
        <w:jc w:val="both"/>
        <w:rPr>
          <w:rFonts w:ascii="Times New Roman" w:hAnsi="Times New Roman" w:cs="Times New Roman"/>
          <w:b/>
          <w:sz w:val="24"/>
          <w:szCs w:val="24"/>
        </w:rPr>
      </w:pPr>
      <w:r w:rsidRPr="00E94531">
        <w:rPr>
          <w:rFonts w:ascii="Times New Roman" w:hAnsi="Times New Roman" w:cs="Times New Roman"/>
          <w:b/>
          <w:sz w:val="24"/>
          <w:szCs w:val="24"/>
        </w:rPr>
        <w:t>Introduction:</w:t>
      </w:r>
    </w:p>
    <w:p w:rsidR="004C6C0A" w:rsidRPr="00E94531" w:rsidRDefault="00841D45" w:rsidP="00E94531">
      <w:pPr>
        <w:autoSpaceDE w:val="0"/>
        <w:autoSpaceDN w:val="0"/>
        <w:adjustRightInd w:val="0"/>
        <w:spacing w:after="0"/>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Carbamazepine</w:t>
      </w:r>
      <w:r w:rsidR="004C6C0A" w:rsidRPr="00E94531">
        <w:rPr>
          <w:rFonts w:ascii="Times New Roman" w:eastAsia="Times-Roman" w:hAnsi="Times New Roman" w:cs="Times New Roman"/>
          <w:sz w:val="24"/>
          <w:szCs w:val="24"/>
        </w:rPr>
        <w:t>(CBZ)</w:t>
      </w:r>
      <w:r w:rsidRPr="00E94531">
        <w:rPr>
          <w:rFonts w:ascii="Times New Roman" w:eastAsia="Times-Roman" w:hAnsi="Times New Roman" w:cs="Times New Roman"/>
          <w:sz w:val="24"/>
          <w:szCs w:val="24"/>
        </w:rPr>
        <w:t xml:space="preserve"> is an iminostilbene derivative related to the tricyclic antidepressants</w:t>
      </w:r>
      <w:r w:rsidR="00227765" w:rsidRPr="00E94531">
        <w:rPr>
          <w:rFonts w:ascii="Times New Roman" w:eastAsia="Times-Roman" w:hAnsi="Times New Roman" w:cs="Times New Roman"/>
          <w:sz w:val="24"/>
          <w:szCs w:val="24"/>
        </w:rPr>
        <w:t xml:space="preserve">. </w:t>
      </w:r>
      <w:r w:rsidR="004C6C0A" w:rsidRPr="00E94531">
        <w:rPr>
          <w:rFonts w:ascii="Times New Roman" w:eastAsia="Times-Roman" w:hAnsi="Times New Roman" w:cs="Times New Roman"/>
          <w:sz w:val="24"/>
          <w:szCs w:val="24"/>
        </w:rPr>
        <w:t xml:space="preserve">CBZ is the most commonly used and effective clinical anti-epileptic drug, the safety range of </w:t>
      </w:r>
      <w:r w:rsidR="00227765" w:rsidRPr="00E94531">
        <w:rPr>
          <w:rFonts w:ascii="Times New Roman" w:eastAsia="Times-Roman" w:hAnsi="Times New Roman" w:cs="Times New Roman"/>
          <w:sz w:val="24"/>
          <w:szCs w:val="24"/>
        </w:rPr>
        <w:t xml:space="preserve">anti-epileptic </w:t>
      </w:r>
      <w:r w:rsidR="004C6C0A" w:rsidRPr="00E94531">
        <w:rPr>
          <w:rFonts w:ascii="Times New Roman" w:eastAsia="Times-Roman" w:hAnsi="Times New Roman" w:cs="Times New Roman"/>
          <w:sz w:val="24"/>
          <w:szCs w:val="24"/>
        </w:rPr>
        <w:t>drugs</w:t>
      </w:r>
      <w:r w:rsidR="00034146" w:rsidRPr="00E94531">
        <w:rPr>
          <w:rFonts w:ascii="Times New Roman" w:eastAsia="Times-Roman" w:hAnsi="Times New Roman" w:cs="Times New Roman"/>
          <w:sz w:val="24"/>
          <w:szCs w:val="24"/>
        </w:rPr>
        <w:t xml:space="preserve"> </w:t>
      </w:r>
      <w:r w:rsidR="00773A02" w:rsidRPr="00E94531">
        <w:rPr>
          <w:rFonts w:ascii="Times New Roman" w:eastAsia="Times-Roman" w:hAnsi="Times New Roman" w:cs="Times New Roman"/>
          <w:sz w:val="24"/>
          <w:szCs w:val="24"/>
        </w:rPr>
        <w:t>(AEDs)</w:t>
      </w:r>
      <w:r w:rsidR="004C6C0A" w:rsidRPr="00E94531">
        <w:rPr>
          <w:rFonts w:ascii="Times New Roman" w:eastAsia="Times-Roman" w:hAnsi="Times New Roman" w:cs="Times New Roman"/>
          <w:sz w:val="24"/>
          <w:szCs w:val="24"/>
        </w:rPr>
        <w:t xml:space="preserve"> is narrow, the anti-epileptic effect and toxicity is closely related to plasma concentration. However, there are large individual differences between the dosage and plasma concentration. Therefore, it is essential for monitoring these drugs applications, anti-epileptic drugs are often monitored drugs in Therapeutic drug monitoring (TDM).</w:t>
      </w:r>
    </w:p>
    <w:p w:rsidR="00077B2A" w:rsidRPr="00E94531" w:rsidRDefault="00077B2A" w:rsidP="00E94531">
      <w:pPr>
        <w:autoSpaceDE w:val="0"/>
        <w:autoSpaceDN w:val="0"/>
        <w:adjustRightInd w:val="0"/>
        <w:spacing w:after="0"/>
        <w:jc w:val="both"/>
        <w:rPr>
          <w:rFonts w:ascii="Times New Roman" w:eastAsia="Times-Roman" w:hAnsi="Times New Roman" w:cs="Times New Roman"/>
          <w:sz w:val="24"/>
          <w:szCs w:val="24"/>
        </w:rPr>
      </w:pPr>
    </w:p>
    <w:p w:rsidR="004C6C0A" w:rsidRPr="00E94531" w:rsidRDefault="00077B2A" w:rsidP="00E94531">
      <w:pPr>
        <w:autoSpaceDE w:val="0"/>
        <w:autoSpaceDN w:val="0"/>
        <w:adjustRightInd w:val="0"/>
        <w:spacing w:after="0"/>
        <w:jc w:val="both"/>
        <w:rPr>
          <w:rFonts w:ascii="Times New Roman" w:eastAsia="Times-Roman" w:hAnsi="Times New Roman" w:cs="Times New Roman"/>
          <w:b/>
          <w:sz w:val="24"/>
          <w:szCs w:val="24"/>
        </w:rPr>
      </w:pPr>
      <w:r w:rsidRPr="00E94531">
        <w:rPr>
          <w:rFonts w:ascii="Times New Roman" w:eastAsia="Times-Roman" w:hAnsi="Times New Roman" w:cs="Times New Roman"/>
          <w:b/>
          <w:sz w:val="24"/>
          <w:szCs w:val="24"/>
        </w:rPr>
        <w:t>Indications:</w:t>
      </w:r>
    </w:p>
    <w:p w:rsidR="00077B2A" w:rsidRPr="00E94531" w:rsidRDefault="00077B2A" w:rsidP="00E94531">
      <w:pPr>
        <w:autoSpaceDE w:val="0"/>
        <w:autoSpaceDN w:val="0"/>
        <w:adjustRightInd w:val="0"/>
        <w:spacing w:after="0"/>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CBZ, </w:t>
      </w:r>
      <w:r w:rsidRPr="00E94531">
        <w:rPr>
          <w:rFonts w:ascii="Times New Roman" w:eastAsia="Times New Roman" w:hAnsi="Times New Roman" w:cs="Times New Roman"/>
          <w:sz w:val="24"/>
          <w:szCs w:val="24"/>
        </w:rPr>
        <w:t>an antiepileptic, is used in the treatment of patients who experience partial seizures with complex symptoms, generalized tonic-clonic seizures (grand mal) seizures, mixed seizure patterns, and other partial or generalized seizures. It is also used for control of pain experienced in trigeminal neuralgia, and treatment of bipolar disorder. Successful unlabeled uses include treatment of resistent schizophrenia, ethanol withdrawal, restless leg syndrome, and post-traumatic stress disorders.</w:t>
      </w:r>
      <w:r w:rsidR="00970574" w:rsidRPr="00970574">
        <w:rPr>
          <w:rFonts w:ascii="Times New Roman" w:eastAsia="Times New Roman" w:hAnsi="Times New Roman" w:cs="Times New Roman"/>
          <w:b/>
          <w:sz w:val="24"/>
          <w:szCs w:val="24"/>
          <w:vertAlign w:val="superscript"/>
        </w:rPr>
        <w:t>1</w:t>
      </w:r>
    </w:p>
    <w:p w:rsidR="002D2AC8" w:rsidRPr="00E94531" w:rsidRDefault="002D2AC8" w:rsidP="00E94531">
      <w:pPr>
        <w:autoSpaceDE w:val="0"/>
        <w:autoSpaceDN w:val="0"/>
        <w:adjustRightInd w:val="0"/>
        <w:spacing w:after="0"/>
        <w:jc w:val="both"/>
        <w:rPr>
          <w:rFonts w:ascii="Times New Roman" w:eastAsia="Times-Roman" w:hAnsi="Times New Roman" w:cs="Times New Roman"/>
          <w:sz w:val="24"/>
          <w:szCs w:val="24"/>
        </w:rPr>
      </w:pPr>
    </w:p>
    <w:p w:rsidR="004F1BD7" w:rsidRDefault="002F7C58" w:rsidP="00817636">
      <w:pPr>
        <w:autoSpaceDE w:val="0"/>
        <w:autoSpaceDN w:val="0"/>
        <w:adjustRightInd w:val="0"/>
        <w:spacing w:after="0" w:line="360" w:lineRule="auto"/>
        <w:jc w:val="both"/>
        <w:rPr>
          <w:rFonts w:ascii="Times New Roman" w:eastAsia="Times-Roman" w:hAnsi="Times New Roman" w:cs="Times New Roman"/>
          <w:b/>
          <w:sz w:val="24"/>
          <w:szCs w:val="24"/>
        </w:rPr>
      </w:pPr>
      <w:r w:rsidRPr="00E94531">
        <w:rPr>
          <w:rFonts w:ascii="Times New Roman" w:eastAsia="Times-Roman" w:hAnsi="Times New Roman" w:cs="Times New Roman"/>
          <w:b/>
          <w:sz w:val="24"/>
          <w:szCs w:val="24"/>
        </w:rPr>
        <w:t>Pharmacodynamics/Kinetics:</w:t>
      </w:r>
    </w:p>
    <w:p w:rsidR="002F7C58" w:rsidRPr="004F1BD7" w:rsidRDefault="002F7C58" w:rsidP="00817636">
      <w:pPr>
        <w:autoSpaceDE w:val="0"/>
        <w:autoSpaceDN w:val="0"/>
        <w:adjustRightInd w:val="0"/>
        <w:spacing w:after="0" w:line="360" w:lineRule="auto"/>
        <w:jc w:val="both"/>
        <w:rPr>
          <w:rFonts w:ascii="Times New Roman" w:eastAsia="Times-Roman" w:hAnsi="Times New Roman" w:cs="Times New Roman"/>
          <w:b/>
          <w:sz w:val="24"/>
          <w:szCs w:val="24"/>
        </w:rPr>
      </w:pPr>
      <w:r w:rsidRPr="00E94531">
        <w:rPr>
          <w:rFonts w:ascii="Times New Roman" w:eastAsia="Times-Roman" w:hAnsi="Times New Roman" w:cs="Times New Roman"/>
          <w:sz w:val="24"/>
          <w:szCs w:val="24"/>
        </w:rPr>
        <w:t xml:space="preserve">Absorption: Slow </w:t>
      </w:r>
    </w:p>
    <w:p w:rsidR="002F7C58" w:rsidRPr="00E94531"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Distribution: Vd: Neonates: 1.5 L/kg; Children: 1.9 L/kg; Adults: 0.59-2 L/kg </w:t>
      </w:r>
    </w:p>
    <w:p w:rsidR="002F7C58" w:rsidRPr="00E94531"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Protein binding: Carbamazepine: 75% to 90%, may be decreased in newborns; Epoxide metabolite: 50% </w:t>
      </w:r>
    </w:p>
    <w:p w:rsidR="002F7C58" w:rsidRPr="00E94531"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Metabolism: Hepatic via CYP3A4 to active epoxide metabolite; induces hepatic enzymes to increase metabolism </w:t>
      </w:r>
    </w:p>
    <w:p w:rsidR="002F7C58" w:rsidRPr="00E94531"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Bioavailability: 85% </w:t>
      </w:r>
    </w:p>
    <w:p w:rsidR="002F7C58" w:rsidRPr="00E94531"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Half-life elimination: Note: Half-life is variable because of autoinduction which is usually complete 3-5 weeks after initiation of a fixed carbamazepine regimen. </w:t>
      </w:r>
    </w:p>
    <w:p w:rsidR="002F7C58" w:rsidRPr="00E94531"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Carbamazepine: Initial: 25-65 hours; Extended release: 35-40 hours; </w:t>
      </w:r>
    </w:p>
    <w:p w:rsidR="002F7C58" w:rsidRPr="00E94531"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                            Multiple doses: Children: 8-14 hours; Adults: 12-17 hours </w:t>
      </w:r>
    </w:p>
    <w:p w:rsidR="002F7C58" w:rsidRPr="00E94531"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Epoxide metabolite: Initial: 25-43 hours </w:t>
      </w:r>
    </w:p>
    <w:p w:rsidR="002F7C58" w:rsidRPr="00E94531"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Time to peak, serum: Unpredictable: </w:t>
      </w:r>
    </w:p>
    <w:p w:rsidR="002F7C58" w:rsidRPr="00E94531" w:rsidRDefault="002F7C58" w:rsidP="00817636">
      <w:pPr>
        <w:autoSpaceDE w:val="0"/>
        <w:autoSpaceDN w:val="0"/>
        <w:adjustRightInd w:val="0"/>
        <w:spacing w:after="0" w:line="360" w:lineRule="auto"/>
        <w:ind w:firstLine="720"/>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Immediate release: Suspension: 1.5 hour; tablet: 4-5 hours </w:t>
      </w:r>
    </w:p>
    <w:p w:rsidR="002F7C58" w:rsidRPr="00E94531" w:rsidRDefault="002F7C58" w:rsidP="00817636">
      <w:pPr>
        <w:autoSpaceDE w:val="0"/>
        <w:autoSpaceDN w:val="0"/>
        <w:adjustRightInd w:val="0"/>
        <w:spacing w:after="0" w:line="360" w:lineRule="auto"/>
        <w:ind w:firstLine="720"/>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 xml:space="preserve">Extended release: 12-26 hours (single dose), 4-8 hours (multiple doses); 3-12 hours </w:t>
      </w:r>
    </w:p>
    <w:p w:rsidR="00C914AB" w:rsidRDefault="002F7C58" w:rsidP="00817636">
      <w:pPr>
        <w:autoSpaceDE w:val="0"/>
        <w:autoSpaceDN w:val="0"/>
        <w:adjustRightInd w:val="0"/>
        <w:spacing w:after="0" w:line="360" w:lineRule="auto"/>
        <w:jc w:val="both"/>
        <w:rPr>
          <w:rFonts w:ascii="Times New Roman" w:eastAsia="Times-Roman" w:hAnsi="Times New Roman" w:cs="Times New Roman"/>
          <w:sz w:val="24"/>
          <w:szCs w:val="24"/>
        </w:rPr>
      </w:pPr>
      <w:r w:rsidRPr="00E94531">
        <w:rPr>
          <w:rFonts w:ascii="Times New Roman" w:eastAsia="Times-Roman" w:hAnsi="Times New Roman" w:cs="Times New Roman"/>
          <w:sz w:val="24"/>
          <w:szCs w:val="24"/>
        </w:rPr>
        <w:t>Excretion: Urine 72% (1% to 3% as unchanged drug); feces (28%)</w:t>
      </w:r>
      <w:r w:rsidR="00970574" w:rsidRPr="00970574">
        <w:rPr>
          <w:rFonts w:ascii="Times New Roman" w:eastAsia="Times-Roman" w:hAnsi="Times New Roman" w:cs="Times New Roman"/>
          <w:b/>
          <w:sz w:val="24"/>
          <w:szCs w:val="24"/>
          <w:vertAlign w:val="superscript"/>
        </w:rPr>
        <w:t>1</w:t>
      </w:r>
    </w:p>
    <w:p w:rsidR="004F1BD7" w:rsidRDefault="004F1BD7" w:rsidP="00E94531">
      <w:pPr>
        <w:autoSpaceDE w:val="0"/>
        <w:autoSpaceDN w:val="0"/>
        <w:adjustRightInd w:val="0"/>
        <w:spacing w:after="0"/>
        <w:jc w:val="both"/>
        <w:rPr>
          <w:rFonts w:ascii="Times New Roman" w:eastAsia="Times-Roman" w:hAnsi="Times New Roman" w:cs="Times New Roman"/>
          <w:sz w:val="24"/>
          <w:szCs w:val="24"/>
        </w:rPr>
      </w:pPr>
    </w:p>
    <w:p w:rsidR="003F4C94" w:rsidRPr="00E94531" w:rsidRDefault="003F4C94" w:rsidP="00E94531">
      <w:pPr>
        <w:autoSpaceDE w:val="0"/>
        <w:autoSpaceDN w:val="0"/>
        <w:adjustRightInd w:val="0"/>
        <w:spacing w:after="0"/>
        <w:jc w:val="both"/>
        <w:rPr>
          <w:rFonts w:ascii="Times New Roman" w:eastAsia="Times-Roman" w:hAnsi="Times New Roman" w:cs="Times New Roman"/>
          <w:sz w:val="24"/>
          <w:szCs w:val="24"/>
        </w:rPr>
      </w:pPr>
    </w:p>
    <w:p w:rsidR="002D2AC8" w:rsidRPr="00E94531" w:rsidRDefault="002D2AC8" w:rsidP="00E94531">
      <w:pPr>
        <w:autoSpaceDE w:val="0"/>
        <w:autoSpaceDN w:val="0"/>
        <w:adjustRightInd w:val="0"/>
        <w:spacing w:after="0"/>
        <w:jc w:val="both"/>
        <w:rPr>
          <w:rFonts w:ascii="Times New Roman" w:hAnsi="Times New Roman" w:cs="Times New Roman"/>
          <w:sz w:val="24"/>
          <w:szCs w:val="24"/>
        </w:rPr>
      </w:pPr>
      <w:r w:rsidRPr="00E94531">
        <w:rPr>
          <w:rFonts w:ascii="Times New Roman" w:hAnsi="Times New Roman" w:cs="Times New Roman"/>
          <w:b/>
          <w:bCs/>
          <w:sz w:val="24"/>
          <w:szCs w:val="24"/>
        </w:rPr>
        <w:lastRenderedPageBreak/>
        <w:t xml:space="preserve">Dose: Adults: </w:t>
      </w:r>
      <w:r w:rsidRPr="00E94531">
        <w:rPr>
          <w:rFonts w:ascii="Times New Roman" w:hAnsi="Times New Roman" w:cs="Times New Roman"/>
          <w:sz w:val="24"/>
          <w:szCs w:val="24"/>
        </w:rPr>
        <w:t>Oral: 0.8-1.2 g/day maintenance</w:t>
      </w:r>
      <w:r w:rsidR="00212641" w:rsidRPr="00E94531">
        <w:rPr>
          <w:rFonts w:ascii="Times New Roman" w:hAnsi="Times New Roman" w:cs="Times New Roman"/>
          <w:sz w:val="24"/>
          <w:szCs w:val="24"/>
        </w:rPr>
        <w:t xml:space="preserve"> </w:t>
      </w:r>
      <w:r w:rsidRPr="00E94531">
        <w:rPr>
          <w:rFonts w:ascii="Times New Roman" w:hAnsi="Times New Roman" w:cs="Times New Roman"/>
          <w:sz w:val="24"/>
          <w:szCs w:val="24"/>
        </w:rPr>
        <w:t>for seizure control for</w:t>
      </w:r>
      <w:r w:rsidR="00212641" w:rsidRPr="00E94531">
        <w:rPr>
          <w:rFonts w:ascii="Times New Roman" w:hAnsi="Times New Roman" w:cs="Times New Roman"/>
          <w:sz w:val="24"/>
          <w:szCs w:val="24"/>
        </w:rPr>
        <w:t xml:space="preserve"> </w:t>
      </w:r>
      <w:r w:rsidRPr="00E94531">
        <w:rPr>
          <w:rFonts w:ascii="Times New Roman" w:hAnsi="Times New Roman" w:cs="Times New Roman"/>
          <w:sz w:val="24"/>
          <w:szCs w:val="24"/>
        </w:rPr>
        <w:t>anxiety</w:t>
      </w:r>
    </w:p>
    <w:p w:rsidR="002D2AC8" w:rsidRPr="00E94531" w:rsidRDefault="00212641" w:rsidP="00E94531">
      <w:pPr>
        <w:autoSpaceDE w:val="0"/>
        <w:autoSpaceDN w:val="0"/>
        <w:adjustRightInd w:val="0"/>
        <w:spacing w:after="0"/>
        <w:jc w:val="both"/>
        <w:rPr>
          <w:rFonts w:ascii="Times New Roman" w:hAnsi="Times New Roman" w:cs="Times New Roman"/>
          <w:sz w:val="24"/>
          <w:szCs w:val="24"/>
        </w:rPr>
      </w:pPr>
      <w:r w:rsidRPr="00E94531">
        <w:rPr>
          <w:rFonts w:ascii="Times New Roman" w:hAnsi="Times New Roman" w:cs="Times New Roman"/>
          <w:sz w:val="24"/>
          <w:szCs w:val="24"/>
        </w:rPr>
        <w:t xml:space="preserve">                                 </w:t>
      </w:r>
      <w:r w:rsidR="002D2AC8" w:rsidRPr="00E94531">
        <w:rPr>
          <w:rFonts w:ascii="Times New Roman" w:hAnsi="Times New Roman" w:cs="Times New Roman"/>
          <w:sz w:val="24"/>
          <w:szCs w:val="24"/>
        </w:rPr>
        <w:t>0.2-1.2 g/day for neuralgia</w:t>
      </w:r>
    </w:p>
    <w:p w:rsidR="002D2AC8" w:rsidRPr="00E94531" w:rsidRDefault="00227765" w:rsidP="00E94531">
      <w:pPr>
        <w:autoSpaceDE w:val="0"/>
        <w:autoSpaceDN w:val="0"/>
        <w:adjustRightInd w:val="0"/>
        <w:spacing w:after="0"/>
        <w:jc w:val="both"/>
        <w:rPr>
          <w:rFonts w:ascii="Times New Roman" w:hAnsi="Times New Roman" w:cs="Times New Roman"/>
          <w:sz w:val="24"/>
          <w:szCs w:val="24"/>
        </w:rPr>
      </w:pPr>
      <w:r w:rsidRPr="00E94531">
        <w:rPr>
          <w:rFonts w:ascii="Times New Roman" w:hAnsi="Times New Roman" w:cs="Times New Roman"/>
          <w:sz w:val="24"/>
          <w:szCs w:val="24"/>
        </w:rPr>
        <w:t xml:space="preserve">           </w:t>
      </w:r>
      <w:r w:rsidRPr="00E94531">
        <w:rPr>
          <w:rFonts w:ascii="Times New Roman" w:hAnsi="Times New Roman" w:cs="Times New Roman"/>
          <w:b/>
          <w:sz w:val="24"/>
          <w:szCs w:val="24"/>
        </w:rPr>
        <w:t>Pediatrics</w:t>
      </w:r>
      <w:r w:rsidRPr="00E94531">
        <w:rPr>
          <w:rFonts w:ascii="Times New Roman" w:hAnsi="Times New Roman" w:cs="Times New Roman"/>
          <w:sz w:val="24"/>
          <w:szCs w:val="24"/>
        </w:rPr>
        <w:t>: Oral: 10-20 mg/kg/day for seizures</w:t>
      </w:r>
      <w:r w:rsidR="00970574" w:rsidRPr="00970574">
        <w:rPr>
          <w:rFonts w:ascii="Times New Roman" w:hAnsi="Times New Roman" w:cs="Times New Roman"/>
          <w:sz w:val="24"/>
          <w:szCs w:val="24"/>
          <w:vertAlign w:val="superscript"/>
        </w:rPr>
        <w:t>1</w:t>
      </w:r>
    </w:p>
    <w:p w:rsidR="00034146" w:rsidRPr="00E94531" w:rsidRDefault="00034146" w:rsidP="00E94531">
      <w:pPr>
        <w:autoSpaceDE w:val="0"/>
        <w:autoSpaceDN w:val="0"/>
        <w:adjustRightInd w:val="0"/>
        <w:spacing w:after="0"/>
        <w:jc w:val="both"/>
        <w:rPr>
          <w:rFonts w:ascii="Times New Roman" w:hAnsi="Times New Roman" w:cs="Times New Roman"/>
          <w:b/>
          <w:sz w:val="24"/>
          <w:szCs w:val="24"/>
        </w:rPr>
      </w:pPr>
    </w:p>
    <w:p w:rsidR="00CB70AD" w:rsidRPr="00E94531" w:rsidRDefault="00B06FD7" w:rsidP="00E94531">
      <w:pPr>
        <w:autoSpaceDE w:val="0"/>
        <w:autoSpaceDN w:val="0"/>
        <w:adjustRightInd w:val="0"/>
        <w:spacing w:after="0"/>
        <w:jc w:val="both"/>
        <w:rPr>
          <w:rFonts w:ascii="Times New Roman" w:hAnsi="Times New Roman" w:cs="Times New Roman"/>
          <w:b/>
          <w:sz w:val="24"/>
          <w:szCs w:val="24"/>
        </w:rPr>
      </w:pPr>
      <w:r w:rsidRPr="00E94531">
        <w:rPr>
          <w:rFonts w:ascii="Times New Roman" w:hAnsi="Times New Roman" w:cs="Times New Roman"/>
          <w:b/>
          <w:sz w:val="24"/>
          <w:szCs w:val="24"/>
        </w:rPr>
        <w:t>Ther</w:t>
      </w:r>
      <w:r w:rsidR="008D2818">
        <w:rPr>
          <w:rFonts w:ascii="Times New Roman" w:hAnsi="Times New Roman" w:cs="Times New Roman"/>
          <w:b/>
          <w:sz w:val="24"/>
          <w:szCs w:val="24"/>
        </w:rPr>
        <w:t>apeutic and Toxic Levels</w:t>
      </w:r>
      <w:r w:rsidRPr="00E94531">
        <w:rPr>
          <w:rFonts w:ascii="Times New Roman" w:hAnsi="Times New Roman" w:cs="Times New Roman"/>
          <w:b/>
          <w:sz w:val="24"/>
          <w:szCs w:val="24"/>
        </w:rPr>
        <w:t>:</w:t>
      </w:r>
    </w:p>
    <w:p w:rsidR="00773A02" w:rsidRPr="00E94531" w:rsidRDefault="00773A02" w:rsidP="00E94531">
      <w:pPr>
        <w:autoSpaceDE w:val="0"/>
        <w:autoSpaceDN w:val="0"/>
        <w:adjustRightInd w:val="0"/>
        <w:spacing w:after="0"/>
        <w:jc w:val="both"/>
        <w:rPr>
          <w:rFonts w:ascii="Times New Roman" w:hAnsi="Times New Roman" w:cs="Times New Roman"/>
          <w:b/>
          <w:sz w:val="24"/>
          <w:szCs w:val="24"/>
        </w:rPr>
      </w:pPr>
    </w:p>
    <w:p w:rsidR="008D2818" w:rsidRDefault="003D04A0" w:rsidP="003D04A0">
      <w:pPr>
        <w:autoSpaceDE w:val="0"/>
        <w:autoSpaceDN w:val="0"/>
        <w:adjustRightInd w:val="0"/>
        <w:spacing w:after="0"/>
        <w:jc w:val="both"/>
        <w:rPr>
          <w:rFonts w:ascii="NewsGothic" w:hAnsi="NewsGothic" w:cs="NewsGothic"/>
          <w:sz w:val="18"/>
          <w:szCs w:val="18"/>
        </w:rPr>
      </w:pPr>
      <w:r w:rsidRPr="003D04A0">
        <w:rPr>
          <w:rFonts w:ascii="Times New Roman" w:hAnsi="Times New Roman" w:cs="Times New Roman"/>
          <w:sz w:val="24"/>
          <w:szCs w:val="24"/>
        </w:rPr>
        <w:t>The monitoring of carbamazepine levels in the</w:t>
      </w:r>
      <w:r>
        <w:rPr>
          <w:rFonts w:ascii="Times New Roman" w:hAnsi="Times New Roman" w:cs="Times New Roman"/>
          <w:sz w:val="24"/>
          <w:szCs w:val="24"/>
        </w:rPr>
        <w:t xml:space="preserve"> </w:t>
      </w:r>
      <w:r w:rsidRPr="003D04A0">
        <w:rPr>
          <w:rFonts w:ascii="Times New Roman" w:hAnsi="Times New Roman" w:cs="Times New Roman"/>
          <w:sz w:val="24"/>
          <w:szCs w:val="24"/>
        </w:rPr>
        <w:t>blood is critical. Common toxic reaction seen</w:t>
      </w:r>
      <w:r>
        <w:rPr>
          <w:rFonts w:ascii="Times New Roman" w:hAnsi="Times New Roman" w:cs="Times New Roman"/>
          <w:sz w:val="24"/>
          <w:szCs w:val="24"/>
        </w:rPr>
        <w:t xml:space="preserve"> </w:t>
      </w:r>
      <w:r w:rsidRPr="003D04A0">
        <w:rPr>
          <w:rFonts w:ascii="Times New Roman" w:hAnsi="Times New Roman" w:cs="Times New Roman"/>
          <w:sz w:val="24"/>
          <w:szCs w:val="24"/>
        </w:rPr>
        <w:t>with this drug includes drowsiness, dizziness,</w:t>
      </w:r>
      <w:r>
        <w:rPr>
          <w:rFonts w:ascii="Times New Roman" w:hAnsi="Times New Roman" w:cs="Times New Roman"/>
          <w:sz w:val="24"/>
          <w:szCs w:val="24"/>
        </w:rPr>
        <w:t xml:space="preserve"> </w:t>
      </w:r>
      <w:r w:rsidRPr="003D04A0">
        <w:rPr>
          <w:rFonts w:ascii="Times New Roman" w:hAnsi="Times New Roman" w:cs="Times New Roman"/>
          <w:sz w:val="24"/>
          <w:szCs w:val="24"/>
        </w:rPr>
        <w:t>nausea with vomiting, light headedness, skin</w:t>
      </w:r>
      <w:r>
        <w:rPr>
          <w:rFonts w:ascii="Times New Roman" w:hAnsi="Times New Roman" w:cs="Times New Roman"/>
          <w:sz w:val="24"/>
          <w:szCs w:val="24"/>
        </w:rPr>
        <w:t xml:space="preserve"> </w:t>
      </w:r>
      <w:r w:rsidRPr="003D04A0">
        <w:rPr>
          <w:rFonts w:ascii="Times New Roman" w:hAnsi="Times New Roman" w:cs="Times New Roman"/>
          <w:sz w:val="24"/>
          <w:szCs w:val="24"/>
        </w:rPr>
        <w:t>rash, ataxia (uncoordinated muscle movement</w:t>
      </w:r>
      <w:r>
        <w:rPr>
          <w:rFonts w:ascii="Times New Roman" w:hAnsi="Times New Roman" w:cs="Times New Roman"/>
          <w:sz w:val="24"/>
          <w:szCs w:val="24"/>
        </w:rPr>
        <w:t xml:space="preserve"> </w:t>
      </w:r>
      <w:r w:rsidRPr="003D04A0">
        <w:rPr>
          <w:rFonts w:ascii="Times New Roman" w:hAnsi="Times New Roman" w:cs="Times New Roman"/>
          <w:sz w:val="24"/>
          <w:szCs w:val="24"/>
        </w:rPr>
        <w:t>in the absence of other symptoms and</w:t>
      </w:r>
      <w:r>
        <w:rPr>
          <w:rFonts w:ascii="Times New Roman" w:hAnsi="Times New Roman" w:cs="Times New Roman"/>
          <w:sz w:val="24"/>
          <w:szCs w:val="24"/>
        </w:rPr>
        <w:t xml:space="preserve"> </w:t>
      </w:r>
      <w:r w:rsidRPr="003D04A0">
        <w:rPr>
          <w:rFonts w:ascii="Times New Roman" w:hAnsi="Times New Roman" w:cs="Times New Roman"/>
          <w:sz w:val="24"/>
          <w:szCs w:val="24"/>
        </w:rPr>
        <w:t>spasticity) alopecia, and photosensitivity.</w:t>
      </w:r>
      <w:r>
        <w:rPr>
          <w:rFonts w:ascii="Times New Roman" w:hAnsi="Times New Roman" w:cs="Times New Roman"/>
          <w:sz w:val="24"/>
          <w:szCs w:val="24"/>
        </w:rPr>
        <w:t xml:space="preserve"> </w:t>
      </w:r>
      <w:r w:rsidRPr="003D04A0">
        <w:rPr>
          <w:rFonts w:ascii="Times New Roman" w:hAnsi="Times New Roman" w:cs="Times New Roman"/>
          <w:sz w:val="24"/>
          <w:szCs w:val="24"/>
        </w:rPr>
        <w:t>Extreme toxicity can cause hepatitis, rare</w:t>
      </w:r>
      <w:r>
        <w:rPr>
          <w:rFonts w:ascii="Times New Roman" w:hAnsi="Times New Roman" w:cs="Times New Roman"/>
          <w:sz w:val="24"/>
          <w:szCs w:val="24"/>
        </w:rPr>
        <w:t xml:space="preserve"> </w:t>
      </w:r>
      <w:r w:rsidRPr="003D04A0">
        <w:rPr>
          <w:rFonts w:ascii="Times New Roman" w:hAnsi="Times New Roman" w:cs="Times New Roman"/>
          <w:sz w:val="24"/>
          <w:szCs w:val="24"/>
        </w:rPr>
        <w:t>hematologic reactions, aplastic anemia,</w:t>
      </w:r>
      <w:r>
        <w:rPr>
          <w:rFonts w:ascii="Times New Roman" w:hAnsi="Times New Roman" w:cs="Times New Roman"/>
          <w:sz w:val="24"/>
          <w:szCs w:val="24"/>
        </w:rPr>
        <w:t xml:space="preserve"> </w:t>
      </w:r>
      <w:r w:rsidRPr="003D04A0">
        <w:rPr>
          <w:rFonts w:ascii="Times New Roman" w:hAnsi="Times New Roman" w:cs="Times New Roman"/>
          <w:sz w:val="24"/>
          <w:szCs w:val="24"/>
        </w:rPr>
        <w:t>thrombocytopenia, and agranulocytosis and</w:t>
      </w:r>
      <w:r>
        <w:rPr>
          <w:rFonts w:ascii="Times New Roman" w:hAnsi="Times New Roman" w:cs="Times New Roman"/>
          <w:sz w:val="24"/>
          <w:szCs w:val="24"/>
        </w:rPr>
        <w:t xml:space="preserve"> </w:t>
      </w:r>
      <w:r w:rsidRPr="003D04A0">
        <w:rPr>
          <w:rFonts w:ascii="Times New Roman" w:hAnsi="Times New Roman" w:cs="Times New Roman"/>
          <w:sz w:val="24"/>
          <w:szCs w:val="24"/>
        </w:rPr>
        <w:t>death due to cardiorespiratory arrest</w:t>
      </w:r>
      <w:r>
        <w:rPr>
          <w:rFonts w:ascii="NewsGothic" w:hAnsi="NewsGothic" w:cs="NewsGothic"/>
          <w:sz w:val="18"/>
          <w:szCs w:val="18"/>
        </w:rPr>
        <w:t xml:space="preserve">. </w:t>
      </w:r>
    </w:p>
    <w:p w:rsidR="008D2818" w:rsidRDefault="008D2818" w:rsidP="003D04A0">
      <w:pPr>
        <w:autoSpaceDE w:val="0"/>
        <w:autoSpaceDN w:val="0"/>
        <w:adjustRightInd w:val="0"/>
        <w:spacing w:after="0"/>
        <w:jc w:val="both"/>
        <w:rPr>
          <w:rFonts w:ascii="NewsGothic" w:hAnsi="NewsGothic" w:cs="NewsGothic"/>
          <w:sz w:val="18"/>
          <w:szCs w:val="18"/>
        </w:rPr>
      </w:pPr>
    </w:p>
    <w:p w:rsidR="00D05AF8" w:rsidRPr="00E94531" w:rsidRDefault="00D05AF8" w:rsidP="003D04A0">
      <w:pPr>
        <w:autoSpaceDE w:val="0"/>
        <w:autoSpaceDN w:val="0"/>
        <w:adjustRightInd w:val="0"/>
        <w:spacing w:after="0"/>
        <w:jc w:val="both"/>
        <w:rPr>
          <w:rFonts w:ascii="Times New Roman" w:hAnsi="Times New Roman" w:cs="Times New Roman"/>
          <w:b/>
          <w:sz w:val="24"/>
          <w:szCs w:val="24"/>
        </w:rPr>
      </w:pPr>
      <w:r w:rsidRPr="00E94531">
        <w:rPr>
          <w:rFonts w:ascii="Times New Roman" w:eastAsia="Times-Roman" w:hAnsi="Times New Roman" w:cs="Times New Roman"/>
          <w:color w:val="000000"/>
          <w:sz w:val="24"/>
          <w:szCs w:val="24"/>
        </w:rPr>
        <w:t>As with all AEDs, there are no prospective controlled trials that define the reference range for carbamazepine. Retrospective and observational studies suggest that optimal</w:t>
      </w:r>
      <w:r w:rsidR="000C18AF" w:rsidRPr="00E94531">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seizure control in patients on monotherapy is most likely to occur between 4 and 12 m</w:t>
      </w:r>
      <w:r w:rsidR="000C18AF" w:rsidRPr="00E94531">
        <w:rPr>
          <w:rFonts w:ascii="Times New Roman" w:eastAsia="Times-Roman" w:hAnsi="Times New Roman" w:cs="Times New Roman"/>
          <w:color w:val="000000"/>
          <w:sz w:val="24"/>
          <w:szCs w:val="24"/>
        </w:rPr>
        <w:t>c</w:t>
      </w:r>
      <w:r w:rsidRPr="00E94531">
        <w:rPr>
          <w:rFonts w:ascii="Times New Roman" w:eastAsia="Times-Roman" w:hAnsi="Times New Roman" w:cs="Times New Roman"/>
          <w:color w:val="000000"/>
          <w:sz w:val="24"/>
          <w:szCs w:val="24"/>
        </w:rPr>
        <w:t xml:space="preserve">g/L (17–51 </w:t>
      </w:r>
      <w:r w:rsidRPr="00E94531">
        <w:rPr>
          <w:rFonts w:ascii="Times New Roman" w:hAnsi="Times New Roman" w:cs="Times New Roman"/>
          <w:i/>
          <w:iCs/>
          <w:color w:val="000000"/>
          <w:sz w:val="24"/>
          <w:szCs w:val="24"/>
        </w:rPr>
        <w:t>μ</w:t>
      </w:r>
      <w:r w:rsidRPr="00E94531">
        <w:rPr>
          <w:rFonts w:ascii="Times New Roman" w:eastAsia="Times-Roman" w:hAnsi="Times New Roman" w:cs="Times New Roman"/>
          <w:color w:val="000000"/>
          <w:sz w:val="24"/>
          <w:szCs w:val="24"/>
        </w:rPr>
        <w:t>mol/L). In patients taking other AEDs, lower serum carbamazepine concentrations may be required, particularly with respect to the need to minimize toxicity</w:t>
      </w:r>
      <w:r w:rsidR="00970574">
        <w:rPr>
          <w:rFonts w:ascii="Times New Roman" w:eastAsia="Times-Roman" w:hAnsi="Times New Roman" w:cs="Times New Roman"/>
          <w:color w:val="000000"/>
          <w:sz w:val="24"/>
          <w:szCs w:val="24"/>
        </w:rPr>
        <w:t>.</w:t>
      </w:r>
      <w:r w:rsidR="00970574" w:rsidRPr="00970574">
        <w:rPr>
          <w:rFonts w:ascii="Times New Roman" w:eastAsia="Times New Roman" w:hAnsi="Times New Roman" w:cs="Times New Roman"/>
          <w:sz w:val="24"/>
          <w:szCs w:val="24"/>
          <w:vertAlign w:val="superscript"/>
        </w:rPr>
        <w:t xml:space="preserve"> </w:t>
      </w:r>
      <w:r w:rsidR="00970574" w:rsidRPr="00FF02CF">
        <w:rPr>
          <w:rFonts w:ascii="Times New Roman" w:eastAsia="Times New Roman" w:hAnsi="Times New Roman" w:cs="Times New Roman"/>
          <w:b/>
          <w:sz w:val="24"/>
          <w:szCs w:val="24"/>
          <w:vertAlign w:val="superscript"/>
        </w:rPr>
        <w:t>2</w:t>
      </w:r>
    </w:p>
    <w:p w:rsidR="00B06FD7" w:rsidRPr="00E94531" w:rsidRDefault="00B06FD7" w:rsidP="00E94531">
      <w:pPr>
        <w:spacing w:after="0"/>
        <w:jc w:val="both"/>
        <w:rPr>
          <w:rFonts w:ascii="Times New Roman" w:eastAsia="Times New Roman" w:hAnsi="Times New Roman" w:cs="Times New Roman"/>
          <w:sz w:val="24"/>
          <w:szCs w:val="24"/>
        </w:rPr>
      </w:pPr>
      <w:bookmarkStart w:id="0" w:name="rei"/>
    </w:p>
    <w:p w:rsidR="00034146" w:rsidRPr="00E94531" w:rsidRDefault="00B06FD7" w:rsidP="00E94531">
      <w:pPr>
        <w:spacing w:after="0"/>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Therapeutic Levels</w:t>
      </w:r>
      <w:bookmarkEnd w:id="0"/>
      <w:r w:rsidRPr="00E94531">
        <w:rPr>
          <w:rFonts w:ascii="Times New Roman" w:eastAsia="Times New Roman" w:hAnsi="Times New Roman" w:cs="Times New Roman"/>
          <w:sz w:val="24"/>
          <w:szCs w:val="24"/>
        </w:rPr>
        <w:t>:</w:t>
      </w:r>
    </w:p>
    <w:p w:rsidR="00034146" w:rsidRPr="00E94531" w:rsidRDefault="00B06FD7" w:rsidP="00E94531">
      <w:pPr>
        <w:spacing w:after="0"/>
        <w:jc w:val="both"/>
        <w:rPr>
          <w:rFonts w:ascii="Times New Roman" w:eastAsia="Times New Roman" w:hAnsi="Times New Roman" w:cs="Times New Roman"/>
          <w:sz w:val="24"/>
          <w:szCs w:val="24"/>
        </w:rPr>
      </w:pPr>
      <w:r w:rsidRPr="00B06FD7">
        <w:rPr>
          <w:rFonts w:ascii="Times New Roman" w:eastAsia="Times New Roman" w:hAnsi="Times New Roman" w:cs="Times New Roman"/>
          <w:sz w:val="24"/>
          <w:szCs w:val="24"/>
        </w:rPr>
        <w:t>4-12 μg/mL; with other anticonvulsants: 4-8 μg/mL. Patients requiring higher levels (ie, 8-12 μg/mL) should be watched closely.</w:t>
      </w:r>
      <w:r w:rsidR="00034146" w:rsidRPr="00E94531">
        <w:rPr>
          <w:rFonts w:ascii="Times New Roman" w:eastAsia="Times New Roman" w:hAnsi="Times New Roman" w:cs="Times New Roman"/>
          <w:sz w:val="24"/>
          <w:szCs w:val="24"/>
        </w:rPr>
        <w:t xml:space="preserve"> </w:t>
      </w:r>
      <w:r w:rsidRPr="00B06FD7">
        <w:rPr>
          <w:rFonts w:ascii="Times New Roman" w:eastAsia="Times New Roman" w:hAnsi="Times New Roman" w:cs="Times New Roman"/>
          <w:sz w:val="24"/>
          <w:szCs w:val="24"/>
        </w:rPr>
        <w:t>Patients on multiple drugs may experience toxicity at levels within the therapeutic range.</w:t>
      </w:r>
    </w:p>
    <w:p w:rsidR="00BF10D2" w:rsidRDefault="00BF10D2" w:rsidP="00E945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w:t>
      </w:r>
      <w:r w:rsidR="00B06FD7" w:rsidRPr="00B06FD7">
        <w:rPr>
          <w:rFonts w:ascii="Times New Roman" w:eastAsia="Times New Roman" w:hAnsi="Times New Roman" w:cs="Times New Roman"/>
          <w:sz w:val="24"/>
          <w:szCs w:val="24"/>
        </w:rPr>
        <w:t>Toxic</w:t>
      </w:r>
      <w:r>
        <w:rPr>
          <w:rFonts w:ascii="Times New Roman" w:eastAsia="Times New Roman" w:hAnsi="Times New Roman" w:cs="Times New Roman"/>
          <w:sz w:val="24"/>
          <w:szCs w:val="24"/>
        </w:rPr>
        <w:t xml:space="preserve"> level</w:t>
      </w:r>
      <w:r w:rsidR="00B06FD7" w:rsidRPr="00B06FD7">
        <w:rPr>
          <w:rFonts w:ascii="Times New Roman" w:eastAsia="Times New Roman" w:hAnsi="Times New Roman" w:cs="Times New Roman"/>
          <w:sz w:val="24"/>
          <w:szCs w:val="24"/>
        </w:rPr>
        <w:t>: &gt;12 μg/mL</w:t>
      </w:r>
    </w:p>
    <w:p w:rsidR="00B06FD7" w:rsidRPr="00B06FD7" w:rsidRDefault="00BF10D2" w:rsidP="00E945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level:  &gt; 20</w:t>
      </w:r>
      <w:r w:rsidRPr="00BF10D2">
        <w:rPr>
          <w:rFonts w:ascii="Times New Roman" w:eastAsia="Times New Roman" w:hAnsi="Times New Roman" w:cs="Times New Roman"/>
          <w:sz w:val="24"/>
          <w:szCs w:val="24"/>
        </w:rPr>
        <w:t xml:space="preserve"> </w:t>
      </w:r>
      <w:r w:rsidRPr="00B06FD7">
        <w:rPr>
          <w:rFonts w:ascii="Times New Roman" w:eastAsia="Times New Roman" w:hAnsi="Times New Roman" w:cs="Times New Roman"/>
          <w:sz w:val="24"/>
          <w:szCs w:val="24"/>
        </w:rPr>
        <w:t>μg/mL</w:t>
      </w:r>
      <w:r>
        <w:rPr>
          <w:rFonts w:ascii="Times New Roman" w:eastAsia="Times New Roman" w:hAnsi="Times New Roman" w:cs="Times New Roman"/>
          <w:sz w:val="24"/>
          <w:szCs w:val="24"/>
          <w:vertAlign w:val="superscript"/>
        </w:rPr>
        <w:t xml:space="preserve"> </w:t>
      </w:r>
      <w:r w:rsidR="00970574" w:rsidRPr="00FF02CF">
        <w:rPr>
          <w:rFonts w:ascii="Times New Roman" w:eastAsia="Times New Roman" w:hAnsi="Times New Roman" w:cs="Times New Roman"/>
          <w:b/>
          <w:sz w:val="24"/>
          <w:szCs w:val="24"/>
          <w:vertAlign w:val="superscript"/>
        </w:rPr>
        <w:t>3</w:t>
      </w:r>
    </w:p>
    <w:p w:rsidR="00034146" w:rsidRPr="00E94531" w:rsidRDefault="00034146" w:rsidP="00E94531">
      <w:pPr>
        <w:spacing w:after="0"/>
        <w:jc w:val="both"/>
        <w:rPr>
          <w:rFonts w:ascii="Times New Roman" w:eastAsia="Times New Roman" w:hAnsi="Times New Roman" w:cs="Times New Roman"/>
          <w:b/>
          <w:sz w:val="24"/>
          <w:szCs w:val="24"/>
        </w:rPr>
      </w:pPr>
      <w:bookmarkStart w:id="1" w:name="spe"/>
    </w:p>
    <w:p w:rsidR="00C31BEF" w:rsidRPr="00E94531" w:rsidRDefault="000C18AF" w:rsidP="00E94531">
      <w:pPr>
        <w:spacing w:after="0"/>
        <w:jc w:val="both"/>
        <w:rPr>
          <w:rFonts w:ascii="Times New Roman" w:eastAsia="Times New Roman" w:hAnsi="Times New Roman" w:cs="Times New Roman"/>
          <w:b/>
          <w:sz w:val="24"/>
          <w:szCs w:val="24"/>
        </w:rPr>
      </w:pPr>
      <w:r w:rsidRPr="00E94531">
        <w:rPr>
          <w:rFonts w:ascii="Times New Roman" w:eastAsia="Times New Roman" w:hAnsi="Times New Roman" w:cs="Times New Roman"/>
          <w:b/>
          <w:sz w:val="24"/>
          <w:szCs w:val="24"/>
        </w:rPr>
        <w:t>Assay Parameters</w:t>
      </w:r>
      <w:r w:rsidR="00C31BEF" w:rsidRPr="00E94531">
        <w:rPr>
          <w:rFonts w:ascii="Times New Roman" w:eastAsia="Times New Roman" w:hAnsi="Times New Roman" w:cs="Times New Roman"/>
          <w:b/>
          <w:sz w:val="24"/>
          <w:szCs w:val="24"/>
        </w:rPr>
        <w:t>:</w:t>
      </w:r>
    </w:p>
    <w:p w:rsidR="00034146" w:rsidRPr="00E94531" w:rsidRDefault="00C31BEF" w:rsidP="00E94531">
      <w:pPr>
        <w:spacing w:after="0"/>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S</w:t>
      </w:r>
      <w:r w:rsidR="000C18AF" w:rsidRPr="00E94531">
        <w:rPr>
          <w:rFonts w:ascii="Times New Roman" w:eastAsia="Times New Roman" w:hAnsi="Times New Roman" w:cs="Times New Roman"/>
          <w:sz w:val="24"/>
          <w:szCs w:val="24"/>
        </w:rPr>
        <w:t>ample</w:t>
      </w:r>
      <w:bookmarkEnd w:id="1"/>
      <w:r w:rsidRPr="00E94531">
        <w:rPr>
          <w:rFonts w:ascii="Times New Roman" w:eastAsia="Times New Roman" w:hAnsi="Times New Roman" w:cs="Times New Roman"/>
          <w:sz w:val="24"/>
          <w:szCs w:val="24"/>
        </w:rPr>
        <w:t>:</w:t>
      </w:r>
    </w:p>
    <w:p w:rsidR="00034146" w:rsidRDefault="00C31BEF" w:rsidP="00E94531">
      <w:pPr>
        <w:spacing w:after="0"/>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1 mL serum or plasma (0.5 mL minimum)</w:t>
      </w:r>
      <w:bookmarkStart w:id="2" w:name="con"/>
    </w:p>
    <w:p w:rsidR="00250CE2" w:rsidRPr="00E94531" w:rsidRDefault="00250CE2" w:rsidP="00E94531">
      <w:pPr>
        <w:spacing w:after="0"/>
        <w:jc w:val="both"/>
        <w:rPr>
          <w:rFonts w:ascii="Times New Roman" w:eastAsia="Times New Roman" w:hAnsi="Times New Roman" w:cs="Times New Roman"/>
          <w:sz w:val="24"/>
          <w:szCs w:val="24"/>
        </w:rPr>
      </w:pPr>
    </w:p>
    <w:p w:rsidR="00034146" w:rsidRPr="00E94531" w:rsidRDefault="00C31BEF" w:rsidP="00E94531">
      <w:pPr>
        <w:spacing w:after="0"/>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Container</w:t>
      </w:r>
      <w:bookmarkEnd w:id="2"/>
      <w:r w:rsidRPr="00E94531">
        <w:rPr>
          <w:rFonts w:ascii="Times New Roman" w:eastAsia="Times New Roman" w:hAnsi="Times New Roman" w:cs="Times New Roman"/>
          <w:sz w:val="24"/>
          <w:szCs w:val="24"/>
        </w:rPr>
        <w:t>:</w:t>
      </w:r>
    </w:p>
    <w:p w:rsidR="00C31BEF" w:rsidRPr="00E94531" w:rsidRDefault="00C31BEF" w:rsidP="00E94531">
      <w:pPr>
        <w:spacing w:after="0"/>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 xml:space="preserve">Red top (no additive) tube, lavender top (EDTA) tube, or green top (heparin) tube. Do </w:t>
      </w:r>
      <w:r w:rsidRPr="00E94531">
        <w:rPr>
          <w:rFonts w:ascii="Times New Roman" w:eastAsia="Times New Roman" w:hAnsi="Times New Roman" w:cs="Times New Roman"/>
          <w:b/>
          <w:bCs/>
          <w:sz w:val="24"/>
          <w:szCs w:val="24"/>
        </w:rPr>
        <w:t>not</w:t>
      </w:r>
      <w:r w:rsidRPr="00E94531">
        <w:rPr>
          <w:rFonts w:ascii="Times New Roman" w:eastAsia="Times New Roman" w:hAnsi="Times New Roman" w:cs="Times New Roman"/>
          <w:sz w:val="24"/>
          <w:szCs w:val="24"/>
        </w:rPr>
        <w:t xml:space="preserve"> use a serum separator tube. Containers are laboratory and methodology specific.</w:t>
      </w:r>
    </w:p>
    <w:p w:rsidR="00034146" w:rsidRPr="00E94531" w:rsidRDefault="00034146" w:rsidP="00E94531">
      <w:pPr>
        <w:spacing w:after="0"/>
        <w:jc w:val="both"/>
        <w:rPr>
          <w:rFonts w:ascii="Times New Roman" w:eastAsia="Times New Roman" w:hAnsi="Times New Roman" w:cs="Times New Roman"/>
          <w:sz w:val="24"/>
          <w:szCs w:val="24"/>
        </w:rPr>
      </w:pPr>
      <w:bookmarkStart w:id="3" w:name="col"/>
    </w:p>
    <w:p w:rsidR="00034146" w:rsidRPr="00E94531" w:rsidRDefault="00C31BEF" w:rsidP="00E94531">
      <w:pPr>
        <w:spacing w:after="0"/>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Collection</w:t>
      </w:r>
      <w:bookmarkEnd w:id="3"/>
      <w:r w:rsidRPr="00E94531">
        <w:rPr>
          <w:rFonts w:ascii="Times New Roman" w:eastAsia="Times New Roman" w:hAnsi="Times New Roman" w:cs="Times New Roman"/>
          <w:sz w:val="24"/>
          <w:szCs w:val="24"/>
        </w:rPr>
        <w:t>:</w:t>
      </w:r>
    </w:p>
    <w:p w:rsidR="00C31BEF" w:rsidRPr="00E94531" w:rsidRDefault="00C31BEF" w:rsidP="00E94531">
      <w:pPr>
        <w:spacing w:after="0"/>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Routine venipuncture. Separate serum or plasma from cells as soon as possible. A consistent sampling time, ideally a trough leve</w:t>
      </w:r>
      <w:r w:rsidR="00FF02CF">
        <w:rPr>
          <w:rFonts w:ascii="Times New Roman" w:eastAsia="Times New Roman" w:hAnsi="Times New Roman" w:cs="Times New Roman"/>
          <w:sz w:val="24"/>
          <w:szCs w:val="24"/>
        </w:rPr>
        <w:t>l 30 minutes prior to next dose</w:t>
      </w:r>
      <w:r w:rsidRPr="00E94531">
        <w:rPr>
          <w:rFonts w:ascii="Times New Roman" w:eastAsia="Times New Roman" w:hAnsi="Times New Roman" w:cs="Times New Roman"/>
          <w:sz w:val="24"/>
          <w:szCs w:val="24"/>
        </w:rPr>
        <w:t xml:space="preserve"> should be used to monitor patients on chronic therapy.</w:t>
      </w:r>
    </w:p>
    <w:p w:rsidR="00034146" w:rsidRPr="00E94531" w:rsidRDefault="00034146" w:rsidP="00E94531">
      <w:pPr>
        <w:spacing w:after="0"/>
        <w:jc w:val="both"/>
        <w:rPr>
          <w:rFonts w:ascii="Times New Roman" w:eastAsia="Times New Roman" w:hAnsi="Times New Roman" w:cs="Times New Roman"/>
          <w:sz w:val="24"/>
          <w:szCs w:val="24"/>
        </w:rPr>
      </w:pPr>
      <w:bookmarkStart w:id="4" w:name="sti"/>
    </w:p>
    <w:p w:rsidR="000C18AF" w:rsidRPr="00E94531" w:rsidRDefault="00C31BEF" w:rsidP="00E94531">
      <w:pPr>
        <w:spacing w:after="0"/>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Storage Instructions</w:t>
      </w:r>
      <w:bookmarkEnd w:id="4"/>
      <w:r w:rsidRPr="00E94531">
        <w:rPr>
          <w:rFonts w:ascii="Times New Roman" w:eastAsia="Times New Roman" w:hAnsi="Times New Roman" w:cs="Times New Roman"/>
          <w:sz w:val="24"/>
          <w:szCs w:val="24"/>
        </w:rPr>
        <w:t>:</w:t>
      </w:r>
    </w:p>
    <w:p w:rsidR="000C18AF" w:rsidRPr="00E94531" w:rsidRDefault="000C18AF" w:rsidP="00E94531">
      <w:pPr>
        <w:spacing w:after="0"/>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Maintain sample</w:t>
      </w:r>
      <w:r w:rsidR="00C31BEF" w:rsidRPr="00E94531">
        <w:rPr>
          <w:rFonts w:ascii="Times New Roman" w:eastAsia="Times New Roman" w:hAnsi="Times New Roman" w:cs="Times New Roman"/>
          <w:sz w:val="24"/>
          <w:szCs w:val="24"/>
        </w:rPr>
        <w:t xml:space="preserve"> at room temperature or refrigerate.</w:t>
      </w:r>
      <w:bookmarkStart w:id="5" w:name="met"/>
      <w:r w:rsidR="00970574" w:rsidRPr="00970574">
        <w:rPr>
          <w:rFonts w:ascii="Times New Roman" w:eastAsia="Times New Roman" w:hAnsi="Times New Roman" w:cs="Times New Roman"/>
          <w:sz w:val="24"/>
          <w:szCs w:val="24"/>
          <w:vertAlign w:val="superscript"/>
        </w:rPr>
        <w:t xml:space="preserve"> </w:t>
      </w:r>
      <w:r w:rsidR="00970574">
        <w:rPr>
          <w:rFonts w:ascii="Times New Roman" w:eastAsia="Times New Roman" w:hAnsi="Times New Roman" w:cs="Times New Roman"/>
          <w:sz w:val="24"/>
          <w:szCs w:val="24"/>
          <w:vertAlign w:val="superscript"/>
        </w:rPr>
        <w:t>3</w:t>
      </w:r>
    </w:p>
    <w:p w:rsidR="003F4C94" w:rsidRDefault="003F4C94" w:rsidP="00E94531">
      <w:pPr>
        <w:spacing w:after="0"/>
        <w:jc w:val="both"/>
        <w:rPr>
          <w:rFonts w:ascii="Times New Roman" w:eastAsia="Times New Roman" w:hAnsi="Times New Roman" w:cs="Times New Roman"/>
          <w:b/>
          <w:sz w:val="24"/>
          <w:szCs w:val="24"/>
        </w:rPr>
      </w:pPr>
    </w:p>
    <w:p w:rsidR="00C31BEF" w:rsidRPr="00E94531" w:rsidRDefault="00D05AF8" w:rsidP="00E94531">
      <w:pPr>
        <w:spacing w:after="0"/>
        <w:jc w:val="both"/>
        <w:rPr>
          <w:rFonts w:ascii="Times New Roman" w:eastAsia="Times New Roman" w:hAnsi="Times New Roman" w:cs="Times New Roman"/>
          <w:b/>
          <w:sz w:val="24"/>
          <w:szCs w:val="24"/>
        </w:rPr>
      </w:pPr>
      <w:r w:rsidRPr="00E94531">
        <w:rPr>
          <w:rFonts w:ascii="Times New Roman" w:eastAsia="Times New Roman" w:hAnsi="Times New Roman" w:cs="Times New Roman"/>
          <w:b/>
          <w:sz w:val="24"/>
          <w:szCs w:val="24"/>
        </w:rPr>
        <w:t xml:space="preserve">Analytical </w:t>
      </w:r>
      <w:r w:rsidR="00C31BEF" w:rsidRPr="00E94531">
        <w:rPr>
          <w:rFonts w:ascii="Times New Roman" w:eastAsia="Times New Roman" w:hAnsi="Times New Roman" w:cs="Times New Roman"/>
          <w:b/>
          <w:sz w:val="24"/>
          <w:szCs w:val="24"/>
        </w:rPr>
        <w:t>Method</w:t>
      </w:r>
      <w:bookmarkEnd w:id="5"/>
      <w:r w:rsidRPr="00E94531">
        <w:rPr>
          <w:rFonts w:ascii="Times New Roman" w:eastAsia="Times New Roman" w:hAnsi="Times New Roman" w:cs="Times New Roman"/>
          <w:b/>
          <w:sz w:val="24"/>
          <w:szCs w:val="24"/>
        </w:rPr>
        <w:t>s</w:t>
      </w:r>
      <w:r w:rsidR="00C31BEF" w:rsidRPr="00E94531">
        <w:rPr>
          <w:rFonts w:ascii="Times New Roman" w:eastAsia="Times New Roman" w:hAnsi="Times New Roman" w:cs="Times New Roman"/>
          <w:b/>
          <w:sz w:val="24"/>
          <w:szCs w:val="24"/>
        </w:rPr>
        <w:t>:</w:t>
      </w:r>
    </w:p>
    <w:p w:rsidR="00D211FD" w:rsidRDefault="00D211FD" w:rsidP="00D211FD">
      <w:pPr>
        <w:autoSpaceDE w:val="0"/>
        <w:autoSpaceDN w:val="0"/>
        <w:adjustRightInd w:val="0"/>
        <w:spacing w:after="0"/>
        <w:jc w:val="both"/>
        <w:rPr>
          <w:rFonts w:ascii="Times New Roman" w:eastAsia="Times New Roman" w:hAnsi="Times New Roman" w:cs="Times New Roman"/>
          <w:sz w:val="24"/>
          <w:szCs w:val="24"/>
        </w:rPr>
      </w:pPr>
      <w:r w:rsidRPr="00E94531">
        <w:rPr>
          <w:rFonts w:ascii="Times New Roman" w:eastAsia="Times-Roman" w:hAnsi="Times New Roman" w:cs="Times New Roman"/>
          <w:color w:val="000000"/>
          <w:sz w:val="24"/>
          <w:szCs w:val="24"/>
        </w:rPr>
        <w:t>Commercial reagent-based techniques represent the primary</w:t>
      </w:r>
      <w:r>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methodology for the analysis of carbamazepine</w:t>
      </w:r>
      <w:r>
        <w:rPr>
          <w:rFonts w:ascii="Times New Roman" w:eastAsia="Times-Roman" w:hAnsi="Times New Roman" w:cs="Times New Roman"/>
          <w:color w:val="000000"/>
          <w:sz w:val="24"/>
          <w:szCs w:val="24"/>
        </w:rPr>
        <w:t xml:space="preserve"> such as</w:t>
      </w:r>
      <w:r w:rsidRPr="00E94531">
        <w:rPr>
          <w:rFonts w:ascii="Times New Roman" w:eastAsia="Times-Roman" w:hAnsi="Times New Roman" w:cs="Times New Roman"/>
          <w:color w:val="000000"/>
          <w:sz w:val="24"/>
          <w:szCs w:val="24"/>
        </w:rPr>
        <w:t xml:space="preserve"> serum </w:t>
      </w:r>
      <w:r w:rsidR="00C31BEF" w:rsidRPr="00E94531">
        <w:rPr>
          <w:rFonts w:ascii="Times New Roman" w:eastAsia="Times New Roman" w:hAnsi="Times New Roman" w:cs="Times New Roman"/>
          <w:sz w:val="24"/>
          <w:szCs w:val="24"/>
        </w:rPr>
        <w:t>Enzyme immunoassay (EIA); enzyme multiplied immunoassay technique (EMIT); fluorescence polarization immunoassay (FPIA); gas-liquid chromatography (GLC); high performance liquid chromatography (HPLC); turbidimetric inhibition immunoassay; liquid chromatography/tandem mass spectrometry (LC/MS-MS)</w:t>
      </w:r>
      <w:r>
        <w:rPr>
          <w:rFonts w:ascii="Times New Roman" w:eastAsia="Times New Roman" w:hAnsi="Times New Roman" w:cs="Times New Roman"/>
          <w:sz w:val="24"/>
          <w:szCs w:val="24"/>
        </w:rPr>
        <w:t>.</w:t>
      </w:r>
    </w:p>
    <w:p w:rsidR="00D211FD" w:rsidRDefault="00D211FD" w:rsidP="00D211FD">
      <w:pPr>
        <w:autoSpaceDE w:val="0"/>
        <w:autoSpaceDN w:val="0"/>
        <w:adjustRightInd w:val="0"/>
        <w:spacing w:after="0"/>
        <w:jc w:val="both"/>
        <w:rPr>
          <w:rFonts w:ascii="Times New Roman" w:eastAsia="Times-Roman" w:hAnsi="Times New Roman" w:cs="Times New Roman"/>
          <w:color w:val="000000"/>
          <w:sz w:val="24"/>
          <w:szCs w:val="24"/>
        </w:rPr>
      </w:pPr>
    </w:p>
    <w:p w:rsidR="00FC3756" w:rsidRPr="00987B3F" w:rsidRDefault="00285FCE" w:rsidP="00D211FD">
      <w:pPr>
        <w:autoSpaceDE w:val="0"/>
        <w:autoSpaceDN w:val="0"/>
        <w:adjustRightInd w:val="0"/>
        <w:spacing w:after="0"/>
        <w:jc w:val="both"/>
        <w:rPr>
          <w:rFonts w:ascii="Times New Roman" w:eastAsia="Times-Roman" w:hAnsi="Times New Roman" w:cs="Times New Roman"/>
          <w:b/>
          <w:color w:val="000000"/>
          <w:sz w:val="24"/>
          <w:szCs w:val="24"/>
        </w:rPr>
      </w:pPr>
      <w:r w:rsidRPr="00987B3F">
        <w:rPr>
          <w:rFonts w:ascii="Times New Roman" w:eastAsia="Times-Roman" w:hAnsi="Times New Roman" w:cs="Times New Roman"/>
          <w:b/>
          <w:color w:val="000000"/>
          <w:sz w:val="24"/>
          <w:szCs w:val="24"/>
        </w:rPr>
        <w:t>GLC:</w:t>
      </w:r>
    </w:p>
    <w:p w:rsidR="00285FCE" w:rsidRDefault="00285FCE" w:rsidP="00D211FD">
      <w:pPr>
        <w:autoSpaceDE w:val="0"/>
        <w:autoSpaceDN w:val="0"/>
        <w:adjustRightInd w:val="0"/>
        <w:spacing w:after="0"/>
        <w:jc w:val="both"/>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Although numerous GLC procedure</w:t>
      </w:r>
      <w:r w:rsidR="00B97DC8">
        <w:rPr>
          <w:rFonts w:ascii="Times New Roman" w:eastAsia="Times-Roman" w:hAnsi="Times New Roman" w:cs="Times New Roman"/>
          <w:color w:val="000000"/>
          <w:sz w:val="24"/>
          <w:szCs w:val="24"/>
        </w:rPr>
        <w:t>s</w:t>
      </w:r>
      <w:r>
        <w:rPr>
          <w:rFonts w:ascii="Times New Roman" w:eastAsia="Times-Roman" w:hAnsi="Times New Roman" w:cs="Times New Roman"/>
          <w:color w:val="000000"/>
          <w:sz w:val="24"/>
          <w:szCs w:val="24"/>
        </w:rPr>
        <w:t xml:space="preserve"> have been developed, which measures either intact drug or variety of derivative or degradation product. None is satisfactory as CBZ undergoes partial degradation during GLC. The best app</w:t>
      </w:r>
      <w:r w:rsidR="00B97DC8">
        <w:rPr>
          <w:rFonts w:ascii="Times New Roman" w:eastAsia="Times-Roman" w:hAnsi="Times New Roman" w:cs="Times New Roman"/>
          <w:color w:val="000000"/>
          <w:sz w:val="24"/>
          <w:szCs w:val="24"/>
        </w:rPr>
        <w:t xml:space="preserve">roach is to analyze the intact </w:t>
      </w:r>
      <w:r>
        <w:rPr>
          <w:rFonts w:ascii="Times New Roman" w:eastAsia="Times-Roman" w:hAnsi="Times New Roman" w:cs="Times New Roman"/>
          <w:color w:val="000000"/>
          <w:sz w:val="24"/>
          <w:szCs w:val="24"/>
        </w:rPr>
        <w:t>drug and to use C</w:t>
      </w:r>
      <w:r w:rsidRPr="00B97DC8">
        <w:rPr>
          <w:rFonts w:ascii="Times New Roman" w:eastAsia="Times-Roman" w:hAnsi="Times New Roman" w:cs="Times New Roman"/>
          <w:color w:val="000000"/>
          <w:sz w:val="24"/>
          <w:szCs w:val="24"/>
          <w:vertAlign w:val="subscript"/>
        </w:rPr>
        <w:t>13</w:t>
      </w:r>
      <w:r>
        <w:rPr>
          <w:rFonts w:ascii="Times New Roman" w:eastAsia="Times-Roman" w:hAnsi="Times New Roman" w:cs="Times New Roman"/>
          <w:color w:val="000000"/>
          <w:sz w:val="24"/>
          <w:szCs w:val="24"/>
        </w:rPr>
        <w:t xml:space="preserve"> CBZ as an internal standard, but this approach</w:t>
      </w:r>
      <w:r w:rsidR="00B97DC8">
        <w:rPr>
          <w:rFonts w:ascii="Times New Roman" w:eastAsia="Times-Roman" w:hAnsi="Times New Roman" w:cs="Times New Roman"/>
          <w:color w:val="000000"/>
          <w:sz w:val="24"/>
          <w:szCs w:val="24"/>
        </w:rPr>
        <w:t xml:space="preserve"> </w:t>
      </w:r>
      <w:r>
        <w:rPr>
          <w:rFonts w:ascii="Times New Roman" w:eastAsia="Times-Roman" w:hAnsi="Times New Roman" w:cs="Times New Roman"/>
          <w:color w:val="000000"/>
          <w:sz w:val="24"/>
          <w:szCs w:val="24"/>
        </w:rPr>
        <w:t xml:space="preserve"> requires spectrometric detection.</w:t>
      </w:r>
    </w:p>
    <w:p w:rsidR="00B97DC8" w:rsidRDefault="00B97DC8" w:rsidP="00D211FD">
      <w:pPr>
        <w:autoSpaceDE w:val="0"/>
        <w:autoSpaceDN w:val="0"/>
        <w:adjustRightInd w:val="0"/>
        <w:spacing w:after="0"/>
        <w:jc w:val="both"/>
        <w:rPr>
          <w:rFonts w:ascii="Times New Roman" w:eastAsia="Times-Roman" w:hAnsi="Times New Roman" w:cs="Times New Roman"/>
          <w:color w:val="000000"/>
          <w:sz w:val="24"/>
          <w:szCs w:val="24"/>
        </w:rPr>
      </w:pPr>
    </w:p>
    <w:p w:rsidR="00B97DC8" w:rsidRPr="00987B3F" w:rsidRDefault="00B97DC8" w:rsidP="00D211FD">
      <w:pPr>
        <w:autoSpaceDE w:val="0"/>
        <w:autoSpaceDN w:val="0"/>
        <w:adjustRightInd w:val="0"/>
        <w:spacing w:after="0"/>
        <w:jc w:val="both"/>
        <w:rPr>
          <w:rFonts w:ascii="Times New Roman" w:eastAsia="Times-Roman" w:hAnsi="Times New Roman" w:cs="Times New Roman"/>
          <w:b/>
          <w:color w:val="000000"/>
          <w:sz w:val="24"/>
          <w:szCs w:val="24"/>
        </w:rPr>
      </w:pPr>
      <w:r w:rsidRPr="00987B3F">
        <w:rPr>
          <w:rFonts w:ascii="Times New Roman" w:eastAsia="Times-Roman" w:hAnsi="Times New Roman" w:cs="Times New Roman"/>
          <w:b/>
          <w:color w:val="000000"/>
          <w:sz w:val="24"/>
          <w:szCs w:val="24"/>
        </w:rPr>
        <w:t>HPLC:</w:t>
      </w:r>
    </w:p>
    <w:p w:rsidR="00B97DC8" w:rsidRDefault="00B97DC8" w:rsidP="00D211FD">
      <w:pPr>
        <w:autoSpaceDE w:val="0"/>
        <w:autoSpaceDN w:val="0"/>
        <w:adjustRightInd w:val="0"/>
        <w:spacing w:after="0"/>
        <w:jc w:val="both"/>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 xml:space="preserve">This is done using 50% Methanol-water mobile phase, </w:t>
      </w:r>
      <w:r w:rsidR="00535FAD">
        <w:rPr>
          <w:rFonts w:ascii="Times New Roman" w:eastAsia="Times-Roman" w:hAnsi="Times New Roman" w:cs="Times New Roman"/>
          <w:color w:val="000000"/>
          <w:sz w:val="24"/>
          <w:szCs w:val="24"/>
        </w:rPr>
        <w:t xml:space="preserve">symmetry </w:t>
      </w:r>
      <w:r>
        <w:rPr>
          <w:rFonts w:ascii="Times New Roman" w:eastAsia="Times-Roman" w:hAnsi="Times New Roman" w:cs="Times New Roman"/>
          <w:color w:val="000000"/>
          <w:sz w:val="24"/>
          <w:szCs w:val="24"/>
        </w:rPr>
        <w:t>C</w:t>
      </w:r>
      <w:r w:rsidRPr="00B97DC8">
        <w:rPr>
          <w:rFonts w:ascii="Times New Roman" w:eastAsia="Times-Roman" w:hAnsi="Times New Roman" w:cs="Times New Roman"/>
          <w:color w:val="000000"/>
          <w:sz w:val="24"/>
          <w:szCs w:val="24"/>
          <w:vertAlign w:val="subscript"/>
        </w:rPr>
        <w:t>18</w:t>
      </w:r>
      <w:r>
        <w:rPr>
          <w:rFonts w:ascii="Times New Roman" w:eastAsia="Times-Roman" w:hAnsi="Times New Roman" w:cs="Times New Roman"/>
          <w:color w:val="000000"/>
          <w:sz w:val="24"/>
          <w:szCs w:val="24"/>
        </w:rPr>
        <w:t xml:space="preserve"> and detection at 212nm. This method allows quantitative analysis of CBZ and epoxide metabolite in serum and plasma.</w:t>
      </w:r>
    </w:p>
    <w:p w:rsidR="00B97DC8" w:rsidRPr="00987B3F" w:rsidRDefault="00B97DC8" w:rsidP="00D211FD">
      <w:pPr>
        <w:autoSpaceDE w:val="0"/>
        <w:autoSpaceDN w:val="0"/>
        <w:adjustRightInd w:val="0"/>
        <w:spacing w:after="0"/>
        <w:jc w:val="both"/>
        <w:rPr>
          <w:rFonts w:ascii="Times New Roman" w:eastAsia="Times-Roman" w:hAnsi="Times New Roman" w:cs="Times New Roman"/>
          <w:b/>
          <w:color w:val="000000"/>
          <w:sz w:val="24"/>
          <w:szCs w:val="24"/>
        </w:rPr>
      </w:pPr>
    </w:p>
    <w:p w:rsidR="00B97DC8" w:rsidRPr="00987B3F" w:rsidRDefault="00B97DC8" w:rsidP="00D211FD">
      <w:pPr>
        <w:autoSpaceDE w:val="0"/>
        <w:autoSpaceDN w:val="0"/>
        <w:adjustRightInd w:val="0"/>
        <w:spacing w:after="0"/>
        <w:jc w:val="both"/>
        <w:rPr>
          <w:rFonts w:ascii="Times New Roman" w:eastAsia="Times-Roman" w:hAnsi="Times New Roman" w:cs="Times New Roman"/>
          <w:b/>
          <w:color w:val="000000"/>
          <w:sz w:val="24"/>
          <w:szCs w:val="24"/>
        </w:rPr>
      </w:pPr>
      <w:r w:rsidRPr="00987B3F">
        <w:rPr>
          <w:rFonts w:ascii="Times New Roman" w:eastAsia="Times-Roman" w:hAnsi="Times New Roman" w:cs="Times New Roman"/>
          <w:b/>
          <w:color w:val="000000"/>
          <w:sz w:val="24"/>
          <w:szCs w:val="24"/>
        </w:rPr>
        <w:t>EMIT and FPIA:</w:t>
      </w:r>
    </w:p>
    <w:p w:rsidR="00B97DC8" w:rsidRDefault="00B97DC8" w:rsidP="00D211FD">
      <w:pPr>
        <w:autoSpaceDE w:val="0"/>
        <w:autoSpaceDN w:val="0"/>
        <w:adjustRightInd w:val="0"/>
        <w:spacing w:after="0"/>
        <w:jc w:val="both"/>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Both are widely used for CBZ analysis. One disadvantage about both of these methods is it cannot  measure epoxide metabolite separately.</w:t>
      </w:r>
      <w:r w:rsidR="00970574" w:rsidRPr="00970574">
        <w:rPr>
          <w:rFonts w:ascii="Times New Roman" w:eastAsia="Times-Roman" w:hAnsi="Times New Roman" w:cs="Times New Roman"/>
          <w:b/>
          <w:color w:val="000000"/>
          <w:sz w:val="24"/>
          <w:szCs w:val="24"/>
          <w:vertAlign w:val="superscript"/>
        </w:rPr>
        <w:t>4</w:t>
      </w:r>
    </w:p>
    <w:p w:rsidR="00B97DC8" w:rsidRDefault="00B97DC8" w:rsidP="00D211FD">
      <w:pPr>
        <w:autoSpaceDE w:val="0"/>
        <w:autoSpaceDN w:val="0"/>
        <w:adjustRightInd w:val="0"/>
        <w:spacing w:after="0"/>
        <w:jc w:val="both"/>
        <w:rPr>
          <w:rFonts w:ascii="Times New Roman" w:eastAsia="Times-Roman" w:hAnsi="Times New Roman" w:cs="Times New Roman"/>
          <w:color w:val="000000"/>
          <w:sz w:val="24"/>
          <w:szCs w:val="24"/>
        </w:rPr>
      </w:pPr>
    </w:p>
    <w:p w:rsidR="00D211FD" w:rsidRDefault="00D211FD" w:rsidP="00D211FD">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Roman" w:hAnsi="Times New Roman" w:cs="Times New Roman"/>
          <w:color w:val="000000"/>
          <w:sz w:val="24"/>
          <w:szCs w:val="24"/>
        </w:rPr>
        <w:t>However</w:t>
      </w:r>
      <w:r w:rsidR="00FC3756">
        <w:rPr>
          <w:rFonts w:ascii="Times New Roman" w:eastAsia="Times-Roman" w:hAnsi="Times New Roman" w:cs="Times New Roman"/>
          <w:color w:val="000000"/>
          <w:sz w:val="24"/>
          <w:szCs w:val="24"/>
        </w:rPr>
        <w:t>, GLC and HPLC</w:t>
      </w:r>
      <w:r>
        <w:rPr>
          <w:rFonts w:ascii="Times New Roman" w:eastAsia="Times-Roman" w:hAnsi="Times New Roman" w:cs="Times New Roman"/>
          <w:color w:val="000000"/>
          <w:sz w:val="24"/>
          <w:szCs w:val="24"/>
        </w:rPr>
        <w:t xml:space="preserve"> techniques </w:t>
      </w:r>
      <w:r w:rsidRPr="00E94531">
        <w:rPr>
          <w:rFonts w:ascii="Times New Roman" w:eastAsia="Times-Roman" w:hAnsi="Times New Roman" w:cs="Times New Roman"/>
          <w:color w:val="000000"/>
          <w:sz w:val="24"/>
          <w:szCs w:val="24"/>
        </w:rPr>
        <w:t>have the</w:t>
      </w:r>
      <w:r>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advantage of simultaneously measuring other AEDs and</w:t>
      </w:r>
      <w:r>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the active metabolite carbamazepine-10,11-epoxide</w:t>
      </w:r>
      <w:r w:rsidR="00FC3756">
        <w:rPr>
          <w:rFonts w:ascii="Times New Roman" w:eastAsia="Times-Roman" w:hAnsi="Times New Roman" w:cs="Times New Roman"/>
          <w:color w:val="000000"/>
          <w:sz w:val="24"/>
          <w:szCs w:val="24"/>
        </w:rPr>
        <w:t xml:space="preserve"> and also availability of test and cost</w:t>
      </w:r>
      <w:r w:rsidR="00535FAD">
        <w:rPr>
          <w:rFonts w:ascii="Times New Roman" w:eastAsia="Times-Roman" w:hAnsi="Times New Roman" w:cs="Times New Roman"/>
          <w:color w:val="000000"/>
          <w:sz w:val="24"/>
          <w:szCs w:val="24"/>
        </w:rPr>
        <w:t>, rapid results</w:t>
      </w:r>
      <w:r w:rsidR="00FC3756">
        <w:rPr>
          <w:rFonts w:ascii="Times New Roman" w:eastAsia="Times-Roman" w:hAnsi="Times New Roman" w:cs="Times New Roman"/>
          <w:color w:val="000000"/>
          <w:sz w:val="24"/>
          <w:szCs w:val="24"/>
        </w:rPr>
        <w:t xml:space="preserve"> would give the edge over other analytical methods  in Indian setup</w:t>
      </w:r>
      <w:r>
        <w:rPr>
          <w:rFonts w:ascii="Times New Roman" w:eastAsia="Times-Roman" w:hAnsi="Times New Roman" w:cs="Times New Roman"/>
          <w:color w:val="000000"/>
          <w:sz w:val="24"/>
          <w:szCs w:val="24"/>
        </w:rPr>
        <w:t>.</w:t>
      </w:r>
      <w:r w:rsidR="00535FAD" w:rsidRPr="00FF02CF">
        <w:rPr>
          <w:rFonts w:ascii="Times New Roman" w:eastAsia="Times-Roman" w:hAnsi="Times New Roman" w:cs="Times New Roman"/>
          <w:b/>
          <w:color w:val="000000"/>
          <w:sz w:val="24"/>
          <w:szCs w:val="24"/>
          <w:vertAlign w:val="superscript"/>
        </w:rPr>
        <w:t>5</w:t>
      </w:r>
    </w:p>
    <w:p w:rsidR="00C31BEF" w:rsidRPr="00E94531" w:rsidRDefault="00D81355" w:rsidP="00E94531">
      <w:pPr>
        <w:spacing w:before="100" w:beforeAutospacing="1" w:after="100" w:afterAutospacing="1"/>
        <w:jc w:val="both"/>
        <w:rPr>
          <w:rFonts w:ascii="Times New Roman" w:eastAsia="Times New Roman" w:hAnsi="Times New Roman" w:cs="Times New Roman"/>
          <w:b/>
          <w:sz w:val="24"/>
          <w:szCs w:val="24"/>
        </w:rPr>
      </w:pPr>
      <w:r w:rsidRPr="00E94531">
        <w:rPr>
          <w:rFonts w:ascii="Times New Roman" w:eastAsia="Times New Roman" w:hAnsi="Times New Roman" w:cs="Times New Roman"/>
          <w:b/>
          <w:sz w:val="24"/>
          <w:szCs w:val="24"/>
        </w:rPr>
        <w:t>Conclusion:</w:t>
      </w:r>
    </w:p>
    <w:p w:rsidR="00391B83" w:rsidRPr="00E94531" w:rsidRDefault="00E94531" w:rsidP="00ED6A17">
      <w:pPr>
        <w:autoSpaceDE w:val="0"/>
        <w:autoSpaceDN w:val="0"/>
        <w:adjustRightInd w:val="0"/>
        <w:spacing w:after="0" w:line="240" w:lineRule="auto"/>
        <w:jc w:val="both"/>
        <w:rPr>
          <w:rFonts w:ascii="Times New Roman" w:eastAsia="Times New Roman" w:hAnsi="Times New Roman" w:cs="Times New Roman"/>
          <w:b/>
          <w:sz w:val="24"/>
          <w:szCs w:val="24"/>
        </w:rPr>
      </w:pPr>
      <w:r w:rsidRPr="00E94531">
        <w:rPr>
          <w:rFonts w:ascii="Times New Roman" w:eastAsia="Times-Roman" w:hAnsi="Times New Roman" w:cs="Times New Roman"/>
          <w:color w:val="000000"/>
          <w:sz w:val="24"/>
          <w:szCs w:val="24"/>
        </w:rPr>
        <w:t xml:space="preserve">The unpredictable relationship between dose and </w:t>
      </w:r>
      <w:r w:rsidR="00ED6A17">
        <w:rPr>
          <w:rFonts w:ascii="Times New Roman" w:eastAsia="Times-Roman" w:hAnsi="Times New Roman" w:cs="Times New Roman"/>
          <w:color w:val="000000"/>
          <w:sz w:val="24"/>
          <w:szCs w:val="24"/>
        </w:rPr>
        <w:t>CBZ</w:t>
      </w:r>
      <w:r w:rsidR="00E82EDF">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concentration, its narrow therapeutic index, and</w:t>
      </w:r>
      <w:r w:rsidR="00E82EDF">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the presence of numerous clinically significant drug interactions</w:t>
      </w:r>
      <w:r w:rsidR="00E82EDF">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support the need to individualize and maintain therapy</w:t>
      </w:r>
      <w:r w:rsidR="00E82EDF">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 xml:space="preserve">using TDM. </w:t>
      </w:r>
      <w:r w:rsidR="00ED6A17" w:rsidRPr="005F7B93">
        <w:rPr>
          <w:rFonts w:ascii="Times New Roman" w:eastAsia="Times-Roman" w:hAnsi="Times New Roman" w:cs="Times New Roman"/>
          <w:sz w:val="24"/>
          <w:szCs w:val="24"/>
        </w:rPr>
        <w:t>The accepted the</w:t>
      </w:r>
      <w:r w:rsidR="00ED6A17">
        <w:rPr>
          <w:rFonts w:ascii="Times New Roman" w:eastAsia="Times-Roman" w:hAnsi="Times New Roman" w:cs="Times New Roman"/>
          <w:sz w:val="24"/>
          <w:szCs w:val="24"/>
        </w:rPr>
        <w:t>rapeutic range for CBZ</w:t>
      </w:r>
      <w:r w:rsidR="00ED6A17" w:rsidRPr="005F7B93">
        <w:rPr>
          <w:rFonts w:ascii="Times New Roman" w:eastAsia="Times-Roman" w:hAnsi="Times New Roman" w:cs="Times New Roman"/>
          <w:sz w:val="24"/>
          <w:szCs w:val="24"/>
        </w:rPr>
        <w:t xml:space="preserve"> is 4–12 </w:t>
      </w:r>
      <w:r w:rsidR="00ED6A17" w:rsidRPr="005F7B93">
        <w:rPr>
          <w:rFonts w:ascii="Times New Roman" w:hAnsi="Times New Roman" w:cs="Times New Roman"/>
          <w:sz w:val="24"/>
          <w:szCs w:val="24"/>
        </w:rPr>
        <w:t>μ</w:t>
      </w:r>
      <w:r w:rsidR="00ED6A17" w:rsidRPr="005F7B93">
        <w:rPr>
          <w:rFonts w:ascii="Times New Roman" w:eastAsia="Times-Roman" w:hAnsi="Times New Roman" w:cs="Times New Roman"/>
          <w:sz w:val="24"/>
          <w:szCs w:val="24"/>
        </w:rPr>
        <w:t>g/mL when the drug is used</w:t>
      </w:r>
      <w:r w:rsidR="00ED6A17">
        <w:rPr>
          <w:rFonts w:ascii="Times New Roman" w:eastAsia="Times-Roman" w:hAnsi="Times New Roman" w:cs="Times New Roman"/>
          <w:sz w:val="24"/>
          <w:szCs w:val="24"/>
        </w:rPr>
        <w:t xml:space="preserve"> </w:t>
      </w:r>
      <w:r w:rsidR="00ED6A17" w:rsidRPr="005F7B93">
        <w:rPr>
          <w:rFonts w:ascii="Times New Roman" w:eastAsia="Times-Roman" w:hAnsi="Times New Roman" w:cs="Times New Roman"/>
          <w:sz w:val="24"/>
          <w:szCs w:val="24"/>
        </w:rPr>
        <w:t>for the treatment of seizures</w:t>
      </w:r>
      <w:r w:rsidR="00ED6A17">
        <w:rPr>
          <w:rFonts w:ascii="Times New Roman" w:eastAsia="Times-Roman" w:hAnsi="Times New Roman" w:cs="Times New Roman"/>
          <w:sz w:val="24"/>
          <w:szCs w:val="24"/>
        </w:rPr>
        <w:t xml:space="preserve"> and neuralgia.</w:t>
      </w:r>
      <w:r w:rsidR="00ED6A17" w:rsidRPr="00E94531">
        <w:rPr>
          <w:rFonts w:ascii="Times New Roman" w:eastAsia="Times-Roman" w:hAnsi="Times New Roman" w:cs="Times New Roman"/>
          <w:color w:val="000000"/>
          <w:sz w:val="24"/>
          <w:szCs w:val="24"/>
        </w:rPr>
        <w:t xml:space="preserve"> </w:t>
      </w:r>
      <w:r w:rsidR="00ED6A17">
        <w:rPr>
          <w:rFonts w:ascii="Times New Roman" w:eastAsia="Times-Roman" w:hAnsi="Times New Roman" w:cs="Times New Roman"/>
          <w:color w:val="000000"/>
          <w:sz w:val="24"/>
          <w:szCs w:val="24"/>
        </w:rPr>
        <w:t>Because CBZ</w:t>
      </w:r>
      <w:r w:rsidRPr="00E94531">
        <w:rPr>
          <w:rFonts w:ascii="Times New Roman" w:eastAsia="Times-Roman" w:hAnsi="Times New Roman" w:cs="Times New Roman"/>
          <w:color w:val="000000"/>
          <w:sz w:val="24"/>
          <w:szCs w:val="24"/>
        </w:rPr>
        <w:t xml:space="preserve"> has a relatively</w:t>
      </w:r>
      <w:r w:rsidR="00E82EDF">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short half-life, sampling time in relation to dose ingestion</w:t>
      </w:r>
      <w:r w:rsidR="00E82EDF">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is important for the interpretation of the drug concentration.</w:t>
      </w:r>
      <w:r w:rsidR="00E82EDF">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Ideally samples for carbamazepine measurements</w:t>
      </w:r>
      <w:r w:rsidR="00E82EDF">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 xml:space="preserve">should be drawn </w:t>
      </w:r>
      <w:r w:rsidR="00096C7E">
        <w:rPr>
          <w:rFonts w:ascii="Times New Roman" w:eastAsia="Times-Roman" w:hAnsi="Times New Roman" w:cs="Times New Roman"/>
          <w:color w:val="000000"/>
          <w:sz w:val="24"/>
          <w:szCs w:val="24"/>
        </w:rPr>
        <w:t xml:space="preserve">30 minutes </w:t>
      </w:r>
      <w:r w:rsidRPr="00E94531">
        <w:rPr>
          <w:rFonts w:ascii="Times New Roman" w:eastAsia="Times-Roman" w:hAnsi="Times New Roman" w:cs="Times New Roman"/>
          <w:color w:val="000000"/>
          <w:sz w:val="24"/>
          <w:szCs w:val="24"/>
        </w:rPr>
        <w:t>before the morning dose.</w:t>
      </w:r>
      <w:r w:rsidR="00096C7E">
        <w:rPr>
          <w:rFonts w:ascii="Times New Roman" w:eastAsia="Times-Roman" w:hAnsi="Times New Roman" w:cs="Times New Roman"/>
          <w:color w:val="000000"/>
          <w:sz w:val="24"/>
          <w:szCs w:val="24"/>
        </w:rPr>
        <w:t xml:space="preserve"> HPLC is the method of choice for analysis of CBZ sample in Indian setup.</w:t>
      </w:r>
    </w:p>
    <w:p w:rsidR="002D2AC8" w:rsidRDefault="00D81355" w:rsidP="00D42675">
      <w:pPr>
        <w:spacing w:before="100" w:beforeAutospacing="1" w:after="100" w:afterAutospacing="1"/>
        <w:jc w:val="both"/>
        <w:rPr>
          <w:rFonts w:ascii="Times New Roman" w:eastAsia="Times New Roman" w:hAnsi="Times New Roman" w:cs="Times New Roman"/>
          <w:b/>
          <w:sz w:val="24"/>
          <w:szCs w:val="24"/>
        </w:rPr>
      </w:pPr>
      <w:r w:rsidRPr="00E94531">
        <w:rPr>
          <w:rFonts w:ascii="Times New Roman" w:eastAsia="Times New Roman" w:hAnsi="Times New Roman" w:cs="Times New Roman"/>
          <w:b/>
          <w:sz w:val="24"/>
          <w:szCs w:val="24"/>
        </w:rPr>
        <w:t>References:</w:t>
      </w:r>
    </w:p>
    <w:p w:rsidR="007B1AA7" w:rsidRDefault="007B1AA7" w:rsidP="007B1AA7">
      <w:pPr>
        <w:pStyle w:val="ListParagraph"/>
        <w:numPr>
          <w:ilvl w:val="0"/>
          <w:numId w:val="3"/>
        </w:numPr>
        <w:spacing w:before="100" w:beforeAutospacing="1" w:after="100" w:afterAutospacing="1"/>
      </w:pPr>
      <w:r>
        <w:t xml:space="preserve">Lacy CF, </w:t>
      </w:r>
      <w:r w:rsidR="00903D5E">
        <w:t>Armstrong LL, Goldman MP, et al editors.</w:t>
      </w:r>
      <w:r>
        <w:t xml:space="preserve"> Drug Information Handbook, 18th ed,</w:t>
      </w:r>
      <w:r w:rsidR="00B72313">
        <w:t xml:space="preserve"> Hudson OH: Lexi-Comp [serial online] 2009 [cited 2010 Aug 15] Available from: URL:</w:t>
      </w:r>
      <w:r w:rsidRPr="007B1AA7">
        <w:t xml:space="preserve"> </w:t>
      </w:r>
      <w:hyperlink r:id="rId7" w:history="1">
        <w:r w:rsidRPr="00535FAD">
          <w:rPr>
            <w:rStyle w:val="Hyperlink"/>
          </w:rPr>
          <w:t>http://online.lexi.com/crlsql/servlet/crlonline</w:t>
        </w:r>
      </w:hyperlink>
    </w:p>
    <w:p w:rsidR="007B1AA7" w:rsidRPr="007B1AA7" w:rsidRDefault="00903D5E" w:rsidP="00535FAD">
      <w:pPr>
        <w:pStyle w:val="ListParagraph"/>
        <w:numPr>
          <w:ilvl w:val="0"/>
          <w:numId w:val="3"/>
        </w:numPr>
        <w:spacing w:before="100" w:beforeAutospacing="1" w:after="100" w:afterAutospacing="1"/>
      </w:pPr>
      <w:r>
        <w:lastRenderedPageBreak/>
        <w:t>Patsalos NP, Berry JD, et al editors. Antiepileptic drugs-best practice guidelines for therapeutic drug monitoring.</w:t>
      </w:r>
      <w:r w:rsidRPr="00903D5E">
        <w:t xml:space="preserve"> </w:t>
      </w:r>
      <w:r w:rsidR="00835D61">
        <w:t xml:space="preserve">Epilepsia </w:t>
      </w:r>
      <w:r>
        <w:t xml:space="preserve">[serial online] 2008 Jan 28 [cited 2010 Aug 15] Available from: URL: </w:t>
      </w:r>
      <w:hyperlink r:id="rId8" w:history="1">
        <w:r w:rsidR="00535FAD" w:rsidRPr="00535FAD">
          <w:rPr>
            <w:rStyle w:val="Hyperlink"/>
          </w:rPr>
          <w:t>http://onlinelibrary.wiley.com/doi/10.1111/j.1528-1167.2008.01561.x/full</w:t>
        </w:r>
      </w:hyperlink>
    </w:p>
    <w:p w:rsidR="007B1AA7" w:rsidRPr="007B1AA7" w:rsidRDefault="004D0FC9" w:rsidP="007B1AA7">
      <w:pPr>
        <w:pStyle w:val="ListParagraph"/>
        <w:numPr>
          <w:ilvl w:val="0"/>
          <w:numId w:val="3"/>
        </w:numPr>
        <w:spacing w:before="100" w:beforeAutospacing="1" w:after="100" w:afterAutospacing="1"/>
      </w:pPr>
      <w:r>
        <w:t xml:space="preserve">Carbamazepine level. Lab tests and Diagnostic Procedures. [serial online] 2008 July 15 [cited 2010 Aug 15] Available from: URL: </w:t>
      </w:r>
      <w:hyperlink r:id="rId9" w:history="1">
        <w:r w:rsidR="007B1AA7" w:rsidRPr="007B1AA7">
          <w:rPr>
            <w:rStyle w:val="Hyperlink"/>
          </w:rPr>
          <w:t>http://online.lexi.com/crlsql/servlet/crlonline?a=tox</w:t>
        </w:r>
      </w:hyperlink>
    </w:p>
    <w:p w:rsidR="007B1AA7" w:rsidRDefault="004D0FC9" w:rsidP="007B1AA7">
      <w:pPr>
        <w:pStyle w:val="ListParagraph"/>
        <w:numPr>
          <w:ilvl w:val="0"/>
          <w:numId w:val="3"/>
        </w:numPr>
        <w:spacing w:before="100" w:beforeAutospacing="1" w:after="100" w:afterAutospacing="1"/>
      </w:pPr>
      <w:r>
        <w:t xml:space="preserve">Zheng H, Zheng J, et al editors. Determination of Carbamazepine in Human Serum by HPLC. </w:t>
      </w:r>
      <w:r w:rsidR="00835D61">
        <w:t xml:space="preserve">MPR </w:t>
      </w:r>
      <w:r>
        <w:t xml:space="preserve">[serial online] 2008 Nov 01 [cited 2010 Aug 15] Available from: URL: </w:t>
      </w:r>
      <w:hyperlink r:id="rId10" w:history="1">
        <w:r w:rsidR="00250CE2" w:rsidRPr="00250CE2">
          <w:rPr>
            <w:rStyle w:val="Hyperlink"/>
          </w:rPr>
          <w:t>http://tasusa.org/Documents/mpr_2009_02_2.pdf</w:t>
        </w:r>
      </w:hyperlink>
    </w:p>
    <w:p w:rsidR="007B631A" w:rsidRDefault="00835D61" w:rsidP="007B1AA7">
      <w:pPr>
        <w:pStyle w:val="ListParagraph"/>
        <w:numPr>
          <w:ilvl w:val="0"/>
          <w:numId w:val="3"/>
        </w:numPr>
        <w:spacing w:before="100" w:beforeAutospacing="1" w:after="100" w:afterAutospacing="1"/>
      </w:pPr>
      <w:r>
        <w:t xml:space="preserve">Nadkarni VV, Dalvi SS, Khare SD. TDM using rapid HPLC. NA [serial online] 2004 [cited 2010 Aug 15] Available from: URL: </w:t>
      </w:r>
    </w:p>
    <w:p w:rsidR="00535FAD" w:rsidRPr="007B1AA7" w:rsidRDefault="007A4BB2" w:rsidP="007B631A">
      <w:pPr>
        <w:pStyle w:val="ListParagraph"/>
        <w:spacing w:before="100" w:beforeAutospacing="1" w:after="100" w:afterAutospacing="1"/>
      </w:pPr>
      <w:hyperlink r:id="rId11" w:history="1">
        <w:r w:rsidR="00535FAD" w:rsidRPr="00535FAD">
          <w:rPr>
            <w:rStyle w:val="Hyperlink"/>
          </w:rPr>
          <w:t>http://www.neurology-asia.org/articles/20043_120.pdf</w:t>
        </w:r>
      </w:hyperlink>
    </w:p>
    <w:p w:rsidR="00D42675" w:rsidRPr="00D42675" w:rsidRDefault="00D42675" w:rsidP="00D42675">
      <w:pPr>
        <w:spacing w:before="100" w:beforeAutospacing="1" w:after="100" w:afterAutospacing="1"/>
        <w:jc w:val="both"/>
        <w:rPr>
          <w:rFonts w:ascii="Times New Roman" w:eastAsia="Times New Roman" w:hAnsi="Times New Roman" w:cs="Times New Roman"/>
          <w:b/>
          <w:sz w:val="24"/>
          <w:szCs w:val="24"/>
        </w:rPr>
      </w:pPr>
    </w:p>
    <w:sectPr w:rsidR="00D42675" w:rsidRPr="00D42675" w:rsidSect="000968B3">
      <w:head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309" w:rsidRDefault="00F17309" w:rsidP="00484360">
      <w:pPr>
        <w:spacing w:after="0" w:line="240" w:lineRule="auto"/>
      </w:pPr>
      <w:r>
        <w:separator/>
      </w:r>
    </w:p>
  </w:endnote>
  <w:endnote w:type="continuationSeparator" w:id="1">
    <w:p w:rsidR="00F17309" w:rsidRDefault="00F17309" w:rsidP="00484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News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309" w:rsidRDefault="00F17309" w:rsidP="00484360">
      <w:pPr>
        <w:spacing w:after="0" w:line="240" w:lineRule="auto"/>
      </w:pPr>
      <w:r>
        <w:separator/>
      </w:r>
    </w:p>
  </w:footnote>
  <w:footnote w:type="continuationSeparator" w:id="1">
    <w:p w:rsidR="00F17309" w:rsidRDefault="00F17309" w:rsidP="00484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910"/>
      <w:docPartObj>
        <w:docPartGallery w:val="Page Numbers (Top of Page)"/>
        <w:docPartUnique/>
      </w:docPartObj>
    </w:sdtPr>
    <w:sdtContent>
      <w:p w:rsidR="00484360" w:rsidRDefault="007A4BB2">
        <w:pPr>
          <w:pStyle w:val="Header"/>
          <w:jc w:val="right"/>
        </w:pPr>
        <w:fldSimple w:instr=" PAGE   \* MERGEFORMAT ">
          <w:r w:rsidR="00501AF5">
            <w:rPr>
              <w:noProof/>
            </w:rPr>
            <w:t>4</w:t>
          </w:r>
        </w:fldSimple>
      </w:p>
    </w:sdtContent>
  </w:sdt>
  <w:p w:rsidR="00484360" w:rsidRDefault="00484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72EA"/>
    <w:multiLevelType w:val="multilevel"/>
    <w:tmpl w:val="8542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D6F62"/>
    <w:multiLevelType w:val="hybridMultilevel"/>
    <w:tmpl w:val="8F7A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F3F31"/>
    <w:multiLevelType w:val="hybridMultilevel"/>
    <w:tmpl w:val="694E5C90"/>
    <w:lvl w:ilvl="0" w:tplc="53705D60">
      <w:start w:val="1"/>
      <w:numFmt w:val="bullet"/>
      <w:lvlText w:val=""/>
      <w:lvlJc w:val="left"/>
      <w:pPr>
        <w:tabs>
          <w:tab w:val="num" w:pos="720"/>
        </w:tabs>
        <w:ind w:left="720" w:hanging="360"/>
      </w:pPr>
      <w:rPr>
        <w:rFonts w:ascii="Wingdings 2" w:hAnsi="Wingdings 2" w:hint="default"/>
      </w:rPr>
    </w:lvl>
    <w:lvl w:ilvl="1" w:tplc="81CCDA2A" w:tentative="1">
      <w:start w:val="1"/>
      <w:numFmt w:val="bullet"/>
      <w:lvlText w:val=""/>
      <w:lvlJc w:val="left"/>
      <w:pPr>
        <w:tabs>
          <w:tab w:val="num" w:pos="1440"/>
        </w:tabs>
        <w:ind w:left="1440" w:hanging="360"/>
      </w:pPr>
      <w:rPr>
        <w:rFonts w:ascii="Wingdings 2" w:hAnsi="Wingdings 2" w:hint="default"/>
      </w:rPr>
    </w:lvl>
    <w:lvl w:ilvl="2" w:tplc="18722D24" w:tentative="1">
      <w:start w:val="1"/>
      <w:numFmt w:val="bullet"/>
      <w:lvlText w:val=""/>
      <w:lvlJc w:val="left"/>
      <w:pPr>
        <w:tabs>
          <w:tab w:val="num" w:pos="2160"/>
        </w:tabs>
        <w:ind w:left="2160" w:hanging="360"/>
      </w:pPr>
      <w:rPr>
        <w:rFonts w:ascii="Wingdings 2" w:hAnsi="Wingdings 2" w:hint="default"/>
      </w:rPr>
    </w:lvl>
    <w:lvl w:ilvl="3" w:tplc="25F0E298" w:tentative="1">
      <w:start w:val="1"/>
      <w:numFmt w:val="bullet"/>
      <w:lvlText w:val=""/>
      <w:lvlJc w:val="left"/>
      <w:pPr>
        <w:tabs>
          <w:tab w:val="num" w:pos="2880"/>
        </w:tabs>
        <w:ind w:left="2880" w:hanging="360"/>
      </w:pPr>
      <w:rPr>
        <w:rFonts w:ascii="Wingdings 2" w:hAnsi="Wingdings 2" w:hint="default"/>
      </w:rPr>
    </w:lvl>
    <w:lvl w:ilvl="4" w:tplc="7DE42454" w:tentative="1">
      <w:start w:val="1"/>
      <w:numFmt w:val="bullet"/>
      <w:lvlText w:val=""/>
      <w:lvlJc w:val="left"/>
      <w:pPr>
        <w:tabs>
          <w:tab w:val="num" w:pos="3600"/>
        </w:tabs>
        <w:ind w:left="3600" w:hanging="360"/>
      </w:pPr>
      <w:rPr>
        <w:rFonts w:ascii="Wingdings 2" w:hAnsi="Wingdings 2" w:hint="default"/>
      </w:rPr>
    </w:lvl>
    <w:lvl w:ilvl="5" w:tplc="22BAA04C" w:tentative="1">
      <w:start w:val="1"/>
      <w:numFmt w:val="bullet"/>
      <w:lvlText w:val=""/>
      <w:lvlJc w:val="left"/>
      <w:pPr>
        <w:tabs>
          <w:tab w:val="num" w:pos="4320"/>
        </w:tabs>
        <w:ind w:left="4320" w:hanging="360"/>
      </w:pPr>
      <w:rPr>
        <w:rFonts w:ascii="Wingdings 2" w:hAnsi="Wingdings 2" w:hint="default"/>
      </w:rPr>
    </w:lvl>
    <w:lvl w:ilvl="6" w:tplc="F4E6BFDA" w:tentative="1">
      <w:start w:val="1"/>
      <w:numFmt w:val="bullet"/>
      <w:lvlText w:val=""/>
      <w:lvlJc w:val="left"/>
      <w:pPr>
        <w:tabs>
          <w:tab w:val="num" w:pos="5040"/>
        </w:tabs>
        <w:ind w:left="5040" w:hanging="360"/>
      </w:pPr>
      <w:rPr>
        <w:rFonts w:ascii="Wingdings 2" w:hAnsi="Wingdings 2" w:hint="default"/>
      </w:rPr>
    </w:lvl>
    <w:lvl w:ilvl="7" w:tplc="AD44B99C" w:tentative="1">
      <w:start w:val="1"/>
      <w:numFmt w:val="bullet"/>
      <w:lvlText w:val=""/>
      <w:lvlJc w:val="left"/>
      <w:pPr>
        <w:tabs>
          <w:tab w:val="num" w:pos="5760"/>
        </w:tabs>
        <w:ind w:left="5760" w:hanging="360"/>
      </w:pPr>
      <w:rPr>
        <w:rFonts w:ascii="Wingdings 2" w:hAnsi="Wingdings 2" w:hint="default"/>
      </w:rPr>
    </w:lvl>
    <w:lvl w:ilvl="8" w:tplc="3726228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C642D0"/>
    <w:rsid w:val="00034146"/>
    <w:rsid w:val="00077B2A"/>
    <w:rsid w:val="000968B3"/>
    <w:rsid w:val="00096C7E"/>
    <w:rsid w:val="000B5629"/>
    <w:rsid w:val="000C18AF"/>
    <w:rsid w:val="001463C9"/>
    <w:rsid w:val="00212641"/>
    <w:rsid w:val="00227765"/>
    <w:rsid w:val="00250CE2"/>
    <w:rsid w:val="00285FCE"/>
    <w:rsid w:val="002D2AC8"/>
    <w:rsid w:val="002D7573"/>
    <w:rsid w:val="002F7C58"/>
    <w:rsid w:val="003218BD"/>
    <w:rsid w:val="00373381"/>
    <w:rsid w:val="00391B83"/>
    <w:rsid w:val="003C5944"/>
    <w:rsid w:val="003D04A0"/>
    <w:rsid w:val="003F1623"/>
    <w:rsid w:val="003F4C94"/>
    <w:rsid w:val="00445297"/>
    <w:rsid w:val="00484360"/>
    <w:rsid w:val="004C6C0A"/>
    <w:rsid w:val="004D0FC9"/>
    <w:rsid w:val="004F1BD7"/>
    <w:rsid w:val="00501AF5"/>
    <w:rsid w:val="00535FAD"/>
    <w:rsid w:val="00555FDF"/>
    <w:rsid w:val="005B452E"/>
    <w:rsid w:val="0062316D"/>
    <w:rsid w:val="006633F6"/>
    <w:rsid w:val="006C7BB8"/>
    <w:rsid w:val="00712A9A"/>
    <w:rsid w:val="00773A02"/>
    <w:rsid w:val="007A4BB2"/>
    <w:rsid w:val="007B1AA7"/>
    <w:rsid w:val="007B631A"/>
    <w:rsid w:val="00817636"/>
    <w:rsid w:val="00835D61"/>
    <w:rsid w:val="00841D45"/>
    <w:rsid w:val="008D2818"/>
    <w:rsid w:val="00903D5E"/>
    <w:rsid w:val="00970574"/>
    <w:rsid w:val="00987B3F"/>
    <w:rsid w:val="009C5A29"/>
    <w:rsid w:val="00B0599E"/>
    <w:rsid w:val="00B06FD7"/>
    <w:rsid w:val="00B3791A"/>
    <w:rsid w:val="00B72313"/>
    <w:rsid w:val="00B97DC8"/>
    <w:rsid w:val="00BF10D2"/>
    <w:rsid w:val="00C31BEF"/>
    <w:rsid w:val="00C642D0"/>
    <w:rsid w:val="00C64694"/>
    <w:rsid w:val="00C914AB"/>
    <w:rsid w:val="00CB70AD"/>
    <w:rsid w:val="00D05AF8"/>
    <w:rsid w:val="00D211FD"/>
    <w:rsid w:val="00D42675"/>
    <w:rsid w:val="00D81355"/>
    <w:rsid w:val="00DA60F5"/>
    <w:rsid w:val="00E078B0"/>
    <w:rsid w:val="00E12010"/>
    <w:rsid w:val="00E82EDF"/>
    <w:rsid w:val="00E94531"/>
    <w:rsid w:val="00EA40A2"/>
    <w:rsid w:val="00ED6A17"/>
    <w:rsid w:val="00F17309"/>
    <w:rsid w:val="00F71FAA"/>
    <w:rsid w:val="00F93959"/>
    <w:rsid w:val="00FC1E11"/>
    <w:rsid w:val="00FC3756"/>
    <w:rsid w:val="00FF0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D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6C0A"/>
    <w:pPr>
      <w:spacing w:after="0" w:line="240" w:lineRule="auto"/>
      <w:ind w:left="720"/>
      <w:contextualSpacing/>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4C6C0A"/>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s">
    <w:name w:val="labels"/>
    <w:basedOn w:val="DefaultParagraphFont"/>
    <w:rsid w:val="00B06FD7"/>
  </w:style>
  <w:style w:type="paragraph" w:styleId="NormalWeb">
    <w:name w:val="Normal (Web)"/>
    <w:basedOn w:val="Normal"/>
    <w:uiPriority w:val="99"/>
    <w:semiHidden/>
    <w:unhideWhenUsed/>
    <w:rsid w:val="00B06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D7"/>
    <w:rPr>
      <w:rFonts w:ascii="Tahoma" w:hAnsi="Tahoma" w:cs="Tahoma"/>
      <w:sz w:val="16"/>
      <w:szCs w:val="16"/>
    </w:rPr>
  </w:style>
  <w:style w:type="character" w:styleId="Hyperlink">
    <w:name w:val="Hyperlink"/>
    <w:basedOn w:val="DefaultParagraphFont"/>
    <w:uiPriority w:val="99"/>
    <w:unhideWhenUsed/>
    <w:rsid w:val="007B1AA7"/>
    <w:rPr>
      <w:color w:val="0000FF" w:themeColor="hyperlink"/>
      <w:u w:val="single"/>
    </w:rPr>
  </w:style>
  <w:style w:type="paragraph" w:styleId="Header">
    <w:name w:val="header"/>
    <w:basedOn w:val="Normal"/>
    <w:link w:val="HeaderChar"/>
    <w:uiPriority w:val="99"/>
    <w:unhideWhenUsed/>
    <w:rsid w:val="0048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60"/>
  </w:style>
  <w:style w:type="paragraph" w:styleId="Footer">
    <w:name w:val="footer"/>
    <w:basedOn w:val="Normal"/>
    <w:link w:val="FooterChar"/>
    <w:uiPriority w:val="99"/>
    <w:semiHidden/>
    <w:unhideWhenUsed/>
    <w:rsid w:val="004843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360"/>
  </w:style>
</w:styles>
</file>

<file path=word/webSettings.xml><?xml version="1.0" encoding="utf-8"?>
<w:webSettings xmlns:r="http://schemas.openxmlformats.org/officeDocument/2006/relationships" xmlns:w="http://schemas.openxmlformats.org/wordprocessingml/2006/main">
  <w:divs>
    <w:div w:id="1863486">
      <w:bodyDiv w:val="1"/>
      <w:marLeft w:val="0"/>
      <w:marRight w:val="0"/>
      <w:marTop w:val="0"/>
      <w:marBottom w:val="0"/>
      <w:divBdr>
        <w:top w:val="none" w:sz="0" w:space="0" w:color="auto"/>
        <w:left w:val="none" w:sz="0" w:space="0" w:color="auto"/>
        <w:bottom w:val="none" w:sz="0" w:space="0" w:color="auto"/>
        <w:right w:val="none" w:sz="0" w:space="0" w:color="auto"/>
      </w:divBdr>
      <w:divsChild>
        <w:div w:id="379936043">
          <w:marLeft w:val="0"/>
          <w:marRight w:val="0"/>
          <w:marTop w:val="0"/>
          <w:marBottom w:val="0"/>
          <w:divBdr>
            <w:top w:val="none" w:sz="0" w:space="0" w:color="auto"/>
            <w:left w:val="none" w:sz="0" w:space="0" w:color="auto"/>
            <w:bottom w:val="none" w:sz="0" w:space="0" w:color="auto"/>
            <w:right w:val="none" w:sz="0" w:space="0" w:color="auto"/>
          </w:divBdr>
        </w:div>
        <w:div w:id="1801727172">
          <w:marLeft w:val="0"/>
          <w:marRight w:val="0"/>
          <w:marTop w:val="0"/>
          <w:marBottom w:val="0"/>
          <w:divBdr>
            <w:top w:val="none" w:sz="0" w:space="0" w:color="auto"/>
            <w:left w:val="none" w:sz="0" w:space="0" w:color="auto"/>
            <w:bottom w:val="none" w:sz="0" w:space="0" w:color="auto"/>
            <w:right w:val="none" w:sz="0" w:space="0" w:color="auto"/>
          </w:divBdr>
        </w:div>
      </w:divsChild>
    </w:div>
    <w:div w:id="17437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528-1167.2008.01561.x/fu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lexi.com/crlsql/servlet/crlonli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logy-asia.org/articles/20043_120.pdf" TargetMode="External"/><Relationship Id="rId5" Type="http://schemas.openxmlformats.org/officeDocument/2006/relationships/footnotes" Target="footnotes.xml"/><Relationship Id="rId10" Type="http://schemas.openxmlformats.org/officeDocument/2006/relationships/hyperlink" Target="http://tasusa.org/Documents/mpr_2009_02_2.pdf" TargetMode="External"/><Relationship Id="rId4" Type="http://schemas.openxmlformats.org/officeDocument/2006/relationships/webSettings" Target="webSettings.xml"/><Relationship Id="rId9" Type="http://schemas.openxmlformats.org/officeDocument/2006/relationships/hyperlink" Target="http://online.lexi.com/crlsql/servlet/crlonline?a=t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Krunal</dc:creator>
  <cp:keywords/>
  <dc:description/>
  <cp:lastModifiedBy>Krunal</cp:lastModifiedBy>
  <cp:revision>60</cp:revision>
  <dcterms:created xsi:type="dcterms:W3CDTF">2010-09-19T13:35:00Z</dcterms:created>
  <dcterms:modified xsi:type="dcterms:W3CDTF">2010-09-23T08:27:00Z</dcterms:modified>
</cp:coreProperties>
</file>