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1A" w:rsidRPr="00922D3F" w:rsidRDefault="004C6C0A" w:rsidP="00922D3F">
      <w:pPr>
        <w:jc w:val="both"/>
        <w:rPr>
          <w:rFonts w:cstheme="minorHAnsi"/>
          <w:b/>
        </w:rPr>
      </w:pPr>
      <w:r w:rsidRPr="00922D3F">
        <w:rPr>
          <w:rFonts w:cstheme="minorHAnsi"/>
          <w:b/>
        </w:rPr>
        <w:t>Introduction:</w:t>
      </w:r>
    </w:p>
    <w:p w:rsidR="00077B2A" w:rsidRDefault="0033764E" w:rsidP="00922D3F">
      <w:pPr>
        <w:autoSpaceDE w:val="0"/>
        <w:autoSpaceDN w:val="0"/>
        <w:adjustRightInd w:val="0"/>
        <w:spacing w:after="0"/>
        <w:jc w:val="both"/>
        <w:rPr>
          <w:rFonts w:cstheme="minorHAnsi"/>
        </w:rPr>
      </w:pPr>
      <w:r w:rsidRPr="00A67E4F">
        <w:rPr>
          <w:rFonts w:cstheme="minorHAnsi"/>
        </w:rPr>
        <w:t>Amiodarone is an antiarrhythmic characterized by substantial toxicity and prolonged half-life. Some of its adverse effects are potentially fatal. Its level should be monitored. It is used for atrial fibrillation and life-threatening recurrent ventricular arrhythmias which have not responded to alternative therapy in patients at risk for sudden death.</w:t>
      </w:r>
    </w:p>
    <w:p w:rsidR="0033764E" w:rsidRPr="00922D3F" w:rsidRDefault="0033764E" w:rsidP="00922D3F">
      <w:pPr>
        <w:autoSpaceDE w:val="0"/>
        <w:autoSpaceDN w:val="0"/>
        <w:adjustRightInd w:val="0"/>
        <w:spacing w:after="0"/>
        <w:jc w:val="both"/>
        <w:rPr>
          <w:rFonts w:eastAsia="Times-Roman" w:cstheme="minorHAnsi"/>
        </w:rPr>
      </w:pPr>
    </w:p>
    <w:p w:rsidR="004C6C0A" w:rsidRPr="00922D3F" w:rsidRDefault="00077B2A" w:rsidP="00922D3F">
      <w:pPr>
        <w:autoSpaceDE w:val="0"/>
        <w:autoSpaceDN w:val="0"/>
        <w:adjustRightInd w:val="0"/>
        <w:spacing w:after="0"/>
        <w:jc w:val="both"/>
        <w:rPr>
          <w:rFonts w:eastAsia="Times-Roman" w:cstheme="minorHAnsi"/>
          <w:b/>
        </w:rPr>
      </w:pPr>
      <w:r w:rsidRPr="00922D3F">
        <w:rPr>
          <w:rFonts w:eastAsia="Times-Roman" w:cstheme="minorHAnsi"/>
          <w:b/>
        </w:rPr>
        <w:t>Indications:</w:t>
      </w:r>
    </w:p>
    <w:p w:rsidR="00077B2A" w:rsidRPr="00922D3F" w:rsidRDefault="0033764E" w:rsidP="00922D3F">
      <w:pPr>
        <w:autoSpaceDE w:val="0"/>
        <w:autoSpaceDN w:val="0"/>
        <w:adjustRightInd w:val="0"/>
        <w:spacing w:after="0"/>
        <w:jc w:val="both"/>
        <w:rPr>
          <w:rFonts w:eastAsia="Times-Roman" w:cstheme="minorHAnsi"/>
        </w:rPr>
      </w:pPr>
      <w:r w:rsidRPr="00A67E4F">
        <w:rPr>
          <w:rFonts w:cstheme="minorHAnsi"/>
        </w:rPr>
        <w:t>Amiodarone is a class III antiarrhythmic agent approved for the treatment of life-threatenin</w:t>
      </w:r>
      <w:r w:rsidR="00F440BE">
        <w:rPr>
          <w:rFonts w:cstheme="minorHAnsi"/>
        </w:rPr>
        <w:t xml:space="preserve">g ventricular tachyarrhythmias. </w:t>
      </w:r>
      <w:r w:rsidRPr="00A67E4F">
        <w:rPr>
          <w:rFonts w:cstheme="minorHAnsi"/>
        </w:rPr>
        <w:t>It is also used in prevention of recurrences of atrial fibrillation</w:t>
      </w:r>
      <w:r w:rsidR="00077B2A" w:rsidRPr="00922D3F">
        <w:rPr>
          <w:rFonts w:eastAsia="Times New Roman" w:cstheme="minorHAnsi"/>
        </w:rPr>
        <w:t>.</w:t>
      </w:r>
      <w:r w:rsidR="00970574" w:rsidRPr="00922D3F">
        <w:rPr>
          <w:rFonts w:eastAsia="Times New Roman" w:cstheme="minorHAnsi"/>
          <w:b/>
          <w:vertAlign w:val="superscript"/>
        </w:rPr>
        <w:t>1</w:t>
      </w:r>
    </w:p>
    <w:p w:rsidR="002D2AC8" w:rsidRPr="00922D3F" w:rsidRDefault="002D2AC8" w:rsidP="00922D3F">
      <w:pPr>
        <w:autoSpaceDE w:val="0"/>
        <w:autoSpaceDN w:val="0"/>
        <w:adjustRightInd w:val="0"/>
        <w:spacing w:after="0"/>
        <w:jc w:val="both"/>
        <w:rPr>
          <w:rFonts w:eastAsia="Times-Roman" w:cstheme="minorHAnsi"/>
        </w:rPr>
      </w:pPr>
    </w:p>
    <w:p w:rsidR="004F1BD7" w:rsidRPr="00922D3F" w:rsidRDefault="002F7C58" w:rsidP="00922D3F">
      <w:pPr>
        <w:autoSpaceDE w:val="0"/>
        <w:autoSpaceDN w:val="0"/>
        <w:adjustRightInd w:val="0"/>
        <w:spacing w:after="0"/>
        <w:jc w:val="both"/>
        <w:rPr>
          <w:rFonts w:eastAsia="Times-Roman" w:cstheme="minorHAnsi"/>
          <w:b/>
        </w:rPr>
      </w:pPr>
      <w:r w:rsidRPr="00922D3F">
        <w:rPr>
          <w:rFonts w:eastAsia="Times-Roman" w:cstheme="minorHAnsi"/>
          <w:b/>
        </w:rPr>
        <w:t>Pharmacodynamics/Kinetics:</w:t>
      </w:r>
    </w:p>
    <w:p w:rsidR="00D175C8" w:rsidRDefault="00D175C8" w:rsidP="00D175C8">
      <w:pPr>
        <w:autoSpaceDE w:val="0"/>
        <w:autoSpaceDN w:val="0"/>
        <w:adjustRightInd w:val="0"/>
        <w:spacing w:after="0"/>
        <w:jc w:val="both"/>
        <w:rPr>
          <w:rFonts w:eastAsia="Times-Roman" w:cstheme="minorHAnsi"/>
        </w:rPr>
      </w:pPr>
    </w:p>
    <w:p w:rsidR="00D175C8" w:rsidRPr="00D175C8" w:rsidRDefault="00D175C8" w:rsidP="00D175C8">
      <w:pPr>
        <w:autoSpaceDE w:val="0"/>
        <w:autoSpaceDN w:val="0"/>
        <w:adjustRightInd w:val="0"/>
        <w:spacing w:after="0"/>
        <w:jc w:val="both"/>
        <w:rPr>
          <w:rFonts w:eastAsia="Times-Roman" w:cstheme="minorHAnsi"/>
        </w:rPr>
      </w:pPr>
      <w:r w:rsidRPr="00D175C8">
        <w:rPr>
          <w:rFonts w:eastAsia="Times-Roman" w:cstheme="minorHAnsi"/>
        </w:rPr>
        <w:t xml:space="preserve">Absorption: Slow and variable </w:t>
      </w:r>
    </w:p>
    <w:p w:rsidR="00D175C8" w:rsidRPr="00D175C8" w:rsidRDefault="00D175C8" w:rsidP="00D175C8">
      <w:pPr>
        <w:autoSpaceDE w:val="0"/>
        <w:autoSpaceDN w:val="0"/>
        <w:adjustRightInd w:val="0"/>
        <w:spacing w:after="0"/>
        <w:jc w:val="both"/>
        <w:rPr>
          <w:rFonts w:eastAsia="Times-Roman" w:cstheme="minorHAnsi"/>
        </w:rPr>
      </w:pPr>
      <w:r w:rsidRPr="00D175C8">
        <w:rPr>
          <w:rFonts w:eastAsia="Times-Roman" w:cstheme="minorHAnsi"/>
        </w:rPr>
        <w:t xml:space="preserve">Onset of action: Oral: 2 days to 3 weeks; I.V.: May be more rapid </w:t>
      </w:r>
    </w:p>
    <w:p w:rsidR="00D175C8" w:rsidRPr="00D175C8" w:rsidRDefault="00D175C8" w:rsidP="00D175C8">
      <w:pPr>
        <w:autoSpaceDE w:val="0"/>
        <w:autoSpaceDN w:val="0"/>
        <w:adjustRightInd w:val="0"/>
        <w:spacing w:after="0"/>
        <w:jc w:val="both"/>
        <w:rPr>
          <w:rFonts w:eastAsia="Times-Roman" w:cstheme="minorHAnsi"/>
        </w:rPr>
      </w:pPr>
      <w:r w:rsidRPr="00D175C8">
        <w:rPr>
          <w:rFonts w:eastAsia="Times-Roman" w:cstheme="minorHAnsi"/>
        </w:rPr>
        <w:t xml:space="preserve">Peak effect: 1 week to 5 months </w:t>
      </w:r>
    </w:p>
    <w:p w:rsidR="00D175C8" w:rsidRPr="00D175C8" w:rsidRDefault="00D175C8" w:rsidP="00D175C8">
      <w:pPr>
        <w:autoSpaceDE w:val="0"/>
        <w:autoSpaceDN w:val="0"/>
        <w:adjustRightInd w:val="0"/>
        <w:spacing w:after="0"/>
        <w:jc w:val="both"/>
        <w:rPr>
          <w:rFonts w:eastAsia="Times-Roman" w:cstheme="minorHAnsi"/>
        </w:rPr>
      </w:pPr>
      <w:r w:rsidRPr="00D175C8">
        <w:rPr>
          <w:rFonts w:eastAsia="Times-Roman" w:cstheme="minorHAnsi"/>
        </w:rPr>
        <w:t xml:space="preserve">Distribution: Vd: 66 L/kg (range: 18-148 L/kg) </w:t>
      </w:r>
    </w:p>
    <w:p w:rsidR="00D175C8" w:rsidRPr="00D175C8" w:rsidRDefault="00D175C8" w:rsidP="00D175C8">
      <w:pPr>
        <w:autoSpaceDE w:val="0"/>
        <w:autoSpaceDN w:val="0"/>
        <w:adjustRightInd w:val="0"/>
        <w:spacing w:after="0"/>
        <w:jc w:val="both"/>
        <w:rPr>
          <w:rFonts w:eastAsia="Times-Roman" w:cstheme="minorHAnsi"/>
        </w:rPr>
      </w:pPr>
      <w:r w:rsidRPr="00D175C8">
        <w:rPr>
          <w:rFonts w:eastAsia="Times-Roman" w:cstheme="minorHAnsi"/>
        </w:rPr>
        <w:t xml:space="preserve">Protein binding: 96% </w:t>
      </w:r>
    </w:p>
    <w:p w:rsidR="00D175C8" w:rsidRPr="00D175C8" w:rsidRDefault="00D175C8" w:rsidP="00D175C8">
      <w:pPr>
        <w:autoSpaceDE w:val="0"/>
        <w:autoSpaceDN w:val="0"/>
        <w:adjustRightInd w:val="0"/>
        <w:spacing w:after="0"/>
        <w:jc w:val="both"/>
        <w:rPr>
          <w:rFonts w:eastAsia="Times-Roman" w:cstheme="minorHAnsi"/>
        </w:rPr>
      </w:pPr>
      <w:r w:rsidRPr="00D175C8">
        <w:rPr>
          <w:rFonts w:eastAsia="Times-Roman" w:cstheme="minorHAnsi"/>
        </w:rPr>
        <w:t xml:space="preserve">Metabolism: Hepatic via CYP2C8 and 3A4 to active N-desethylamiodarone metabolite; possible enterohepatic recirculation </w:t>
      </w:r>
    </w:p>
    <w:p w:rsidR="00D175C8" w:rsidRPr="00D175C8" w:rsidRDefault="00D175C8" w:rsidP="00D175C8">
      <w:pPr>
        <w:autoSpaceDE w:val="0"/>
        <w:autoSpaceDN w:val="0"/>
        <w:adjustRightInd w:val="0"/>
        <w:spacing w:after="0"/>
        <w:jc w:val="both"/>
        <w:rPr>
          <w:rFonts w:eastAsia="Times-Roman" w:cstheme="minorHAnsi"/>
        </w:rPr>
      </w:pPr>
      <w:r w:rsidRPr="00D175C8">
        <w:rPr>
          <w:rFonts w:eastAsia="Times-Roman" w:cstheme="minorHAnsi"/>
        </w:rPr>
        <w:t xml:space="preserve">Bioavailability: Oral: 35% to 65% </w:t>
      </w:r>
    </w:p>
    <w:p w:rsidR="00D175C8" w:rsidRPr="00D175C8" w:rsidRDefault="00D175C8" w:rsidP="00D175C8">
      <w:pPr>
        <w:autoSpaceDE w:val="0"/>
        <w:autoSpaceDN w:val="0"/>
        <w:adjustRightInd w:val="0"/>
        <w:spacing w:after="0"/>
        <w:jc w:val="both"/>
        <w:rPr>
          <w:rFonts w:eastAsia="Times-Roman" w:cstheme="minorHAnsi"/>
        </w:rPr>
      </w:pPr>
      <w:r w:rsidRPr="00D175C8">
        <w:rPr>
          <w:rFonts w:eastAsia="Times-Roman" w:cstheme="minorHAnsi"/>
        </w:rPr>
        <w:t xml:space="preserve">Half-life elimination: Terminal: 40-55 days (range: 26-107 days); shorter in children </w:t>
      </w:r>
    </w:p>
    <w:p w:rsidR="00D175C8" w:rsidRDefault="00D175C8" w:rsidP="00D175C8">
      <w:pPr>
        <w:autoSpaceDE w:val="0"/>
        <w:autoSpaceDN w:val="0"/>
        <w:adjustRightInd w:val="0"/>
        <w:spacing w:after="0"/>
        <w:jc w:val="both"/>
        <w:rPr>
          <w:rFonts w:eastAsia="Times-Roman" w:cstheme="minorHAnsi"/>
        </w:rPr>
      </w:pPr>
      <w:r w:rsidRPr="00D175C8">
        <w:rPr>
          <w:rFonts w:eastAsia="Times-Roman" w:cstheme="minorHAnsi"/>
        </w:rPr>
        <w:t xml:space="preserve">Time to peak, serum: 3-7 hours </w:t>
      </w:r>
    </w:p>
    <w:p w:rsidR="00324B62" w:rsidRPr="00D175C8" w:rsidRDefault="00324B62" w:rsidP="00D175C8">
      <w:pPr>
        <w:autoSpaceDE w:val="0"/>
        <w:autoSpaceDN w:val="0"/>
        <w:adjustRightInd w:val="0"/>
        <w:spacing w:after="0"/>
        <w:jc w:val="both"/>
        <w:rPr>
          <w:rFonts w:eastAsia="Times-Roman" w:cstheme="minorHAnsi"/>
        </w:rPr>
      </w:pPr>
      <w:r w:rsidRPr="00A67E4F">
        <w:rPr>
          <w:rFonts w:cstheme="minorHAnsi"/>
        </w:rPr>
        <w:t>Steady-state plasma concentrations are reached in 50-300 days.</w:t>
      </w:r>
    </w:p>
    <w:p w:rsidR="00C914AB" w:rsidRPr="00D175C8" w:rsidRDefault="00D175C8" w:rsidP="00D175C8">
      <w:pPr>
        <w:autoSpaceDE w:val="0"/>
        <w:autoSpaceDN w:val="0"/>
        <w:adjustRightInd w:val="0"/>
        <w:spacing w:after="0"/>
        <w:jc w:val="both"/>
        <w:rPr>
          <w:rFonts w:eastAsia="Times-Roman" w:cstheme="minorHAnsi"/>
        </w:rPr>
      </w:pPr>
      <w:r w:rsidRPr="00D175C8">
        <w:rPr>
          <w:rFonts w:eastAsia="Times-Roman" w:cstheme="minorHAnsi"/>
        </w:rPr>
        <w:t>Excretion: Feces; urine (&lt;1% as unchanged drug)</w:t>
      </w:r>
      <w:r w:rsidRPr="00D175C8">
        <w:rPr>
          <w:rFonts w:eastAsia="Times-Roman" w:cstheme="minorHAnsi"/>
          <w:b/>
          <w:vertAlign w:val="superscript"/>
        </w:rPr>
        <w:t xml:space="preserve"> </w:t>
      </w:r>
      <w:r w:rsidR="00970574" w:rsidRPr="00D175C8">
        <w:rPr>
          <w:rFonts w:eastAsia="Times-Roman" w:cstheme="minorHAnsi"/>
          <w:b/>
          <w:vertAlign w:val="superscript"/>
        </w:rPr>
        <w:t>1</w:t>
      </w:r>
    </w:p>
    <w:p w:rsidR="004F1BD7" w:rsidRPr="00922D3F" w:rsidRDefault="004F1BD7" w:rsidP="00922D3F">
      <w:pPr>
        <w:autoSpaceDE w:val="0"/>
        <w:autoSpaceDN w:val="0"/>
        <w:adjustRightInd w:val="0"/>
        <w:spacing w:after="0"/>
        <w:jc w:val="both"/>
        <w:rPr>
          <w:rFonts w:eastAsia="Times-Roman" w:cstheme="minorHAnsi"/>
        </w:rPr>
      </w:pPr>
    </w:p>
    <w:p w:rsidR="006831CB" w:rsidRDefault="002D2AC8" w:rsidP="006831CB">
      <w:pPr>
        <w:autoSpaceDE w:val="0"/>
        <w:autoSpaceDN w:val="0"/>
        <w:adjustRightInd w:val="0"/>
        <w:spacing w:after="0"/>
        <w:jc w:val="both"/>
        <w:rPr>
          <w:rFonts w:ascii="Times New Roman" w:hAnsi="Times New Roman" w:cs="Times New Roman"/>
          <w:b/>
          <w:bCs/>
          <w:color w:val="000000"/>
          <w:sz w:val="48"/>
          <w:szCs w:val="48"/>
        </w:rPr>
      </w:pPr>
      <w:r w:rsidRPr="00922D3F">
        <w:rPr>
          <w:rFonts w:cstheme="minorHAnsi"/>
          <w:b/>
          <w:bCs/>
        </w:rPr>
        <w:t xml:space="preserve">Dose: </w:t>
      </w:r>
      <w:r w:rsidRPr="002B1B8F">
        <w:rPr>
          <w:rFonts w:cstheme="minorHAnsi"/>
          <w:bCs/>
        </w:rPr>
        <w:t>Adults:</w:t>
      </w:r>
      <w:r w:rsidRPr="00922D3F">
        <w:rPr>
          <w:rFonts w:cstheme="minorHAnsi"/>
          <w:b/>
          <w:bCs/>
        </w:rPr>
        <w:t xml:space="preserve"> </w:t>
      </w:r>
      <w:r w:rsidR="00EF692D" w:rsidRPr="002B1B8F">
        <w:rPr>
          <w:rFonts w:cstheme="minorHAnsi"/>
          <w:bCs/>
        </w:rPr>
        <w:t>Ventricular arrhythmias:</w:t>
      </w:r>
      <w:r w:rsidR="00EF692D" w:rsidRPr="00EF692D">
        <w:rPr>
          <w:rFonts w:cstheme="minorHAnsi"/>
          <w:b/>
          <w:bCs/>
        </w:rPr>
        <w:t xml:space="preserve"> </w:t>
      </w:r>
      <w:r w:rsidR="00EF692D" w:rsidRPr="00661A55">
        <w:rPr>
          <w:rFonts w:cstheme="minorHAnsi"/>
          <w:bCs/>
        </w:rPr>
        <w:t>Oral: 800-1600 mg/day in 1-2 doses for 1-3 weeks, then when adequate arrhythmia control is achieved, decrease to 600-800 mg/day in 1-2 doses for 1 month; maintenance: 400 mg/day; lower doses are recommended for supraventricular arrhythmias.</w:t>
      </w:r>
      <w:r w:rsidR="00F56F6D" w:rsidRPr="00F56F6D">
        <w:rPr>
          <w:rFonts w:cstheme="minorHAnsi"/>
          <w:b/>
          <w:bCs/>
          <w:vertAlign w:val="superscript"/>
        </w:rPr>
        <w:t>1</w:t>
      </w:r>
      <w:r w:rsidR="006831CB" w:rsidRPr="006831CB">
        <w:rPr>
          <w:rFonts w:ascii="Times New Roman" w:hAnsi="Times New Roman" w:cs="Times New Roman"/>
          <w:b/>
          <w:bCs/>
          <w:color w:val="000000"/>
          <w:sz w:val="48"/>
          <w:szCs w:val="48"/>
        </w:rPr>
        <w:t xml:space="preserve"> </w:t>
      </w:r>
    </w:p>
    <w:p w:rsidR="006831CB" w:rsidRDefault="006831CB" w:rsidP="006831CB">
      <w:pPr>
        <w:autoSpaceDE w:val="0"/>
        <w:autoSpaceDN w:val="0"/>
        <w:adjustRightInd w:val="0"/>
        <w:spacing w:after="0"/>
        <w:jc w:val="both"/>
        <w:rPr>
          <w:rFonts w:cstheme="minorHAnsi"/>
          <w:b/>
          <w:bCs/>
          <w:color w:val="000000"/>
        </w:rPr>
      </w:pPr>
    </w:p>
    <w:p w:rsidR="006831CB" w:rsidRDefault="006831CB" w:rsidP="006831CB">
      <w:pPr>
        <w:autoSpaceDE w:val="0"/>
        <w:autoSpaceDN w:val="0"/>
        <w:adjustRightInd w:val="0"/>
        <w:spacing w:after="0"/>
        <w:jc w:val="both"/>
        <w:rPr>
          <w:rFonts w:cstheme="minorHAnsi"/>
          <w:b/>
          <w:bCs/>
          <w:color w:val="000000"/>
        </w:rPr>
      </w:pPr>
      <w:r w:rsidRPr="006831CB">
        <w:rPr>
          <w:rFonts w:cstheme="minorHAnsi"/>
          <w:b/>
          <w:bCs/>
          <w:color w:val="000000"/>
        </w:rPr>
        <w:t>Indications for TDM</w:t>
      </w:r>
      <w:r w:rsidR="00CB53AC">
        <w:rPr>
          <w:rFonts w:cstheme="minorHAnsi"/>
          <w:b/>
          <w:bCs/>
          <w:color w:val="000000"/>
        </w:rPr>
        <w:t>:</w:t>
      </w:r>
    </w:p>
    <w:p w:rsidR="006831CB" w:rsidRPr="006831CB" w:rsidRDefault="00BB08A2" w:rsidP="006831CB">
      <w:pPr>
        <w:autoSpaceDE w:val="0"/>
        <w:autoSpaceDN w:val="0"/>
        <w:adjustRightInd w:val="0"/>
        <w:spacing w:after="0"/>
        <w:jc w:val="both"/>
        <w:rPr>
          <w:rFonts w:cstheme="minorHAnsi"/>
        </w:rPr>
      </w:pPr>
      <w:r>
        <w:rPr>
          <w:rFonts w:cstheme="minorHAnsi"/>
          <w:color w:val="000000"/>
        </w:rPr>
        <w:t xml:space="preserve"> </w:t>
      </w:r>
      <w:r w:rsidR="006831CB" w:rsidRPr="006831CB">
        <w:rPr>
          <w:rFonts w:cstheme="minorHAnsi"/>
          <w:color w:val="000000"/>
        </w:rPr>
        <w:t>T</w:t>
      </w:r>
      <w:r w:rsidR="005F6C44">
        <w:rPr>
          <w:rFonts w:cstheme="minorHAnsi"/>
          <w:color w:val="000000"/>
        </w:rPr>
        <w:t>o evaluate amiodarone</w:t>
      </w:r>
      <w:r w:rsidR="006831CB" w:rsidRPr="006831CB">
        <w:rPr>
          <w:rFonts w:cstheme="minorHAnsi"/>
          <w:color w:val="000000"/>
        </w:rPr>
        <w:t xml:space="preserve"> toxicity</w:t>
      </w:r>
      <w:r w:rsidR="005F6C44">
        <w:rPr>
          <w:rFonts w:cstheme="minorHAnsi"/>
          <w:color w:val="000000"/>
        </w:rPr>
        <w:t>.</w:t>
      </w:r>
    </w:p>
    <w:p w:rsidR="006831CB" w:rsidRPr="006831CB" w:rsidRDefault="006831CB" w:rsidP="006831CB">
      <w:pPr>
        <w:autoSpaceDE w:val="0"/>
        <w:autoSpaceDN w:val="0"/>
        <w:adjustRightInd w:val="0"/>
        <w:spacing w:after="0"/>
        <w:jc w:val="both"/>
        <w:rPr>
          <w:rFonts w:cstheme="minorHAnsi"/>
        </w:rPr>
      </w:pPr>
      <w:r w:rsidRPr="006831CB">
        <w:rPr>
          <w:rFonts w:cstheme="minorHAnsi"/>
          <w:color w:val="000000"/>
        </w:rPr>
        <w:t>To assist in differential diagnosis: To distinguish between drug related adverse effects from disease symptoms</w:t>
      </w:r>
      <w:r w:rsidR="005F6C44">
        <w:rPr>
          <w:rFonts w:cstheme="minorHAnsi"/>
          <w:color w:val="000000"/>
        </w:rPr>
        <w:t>.</w:t>
      </w:r>
    </w:p>
    <w:p w:rsidR="006831CB" w:rsidRPr="006831CB" w:rsidRDefault="006831CB" w:rsidP="006831CB">
      <w:pPr>
        <w:autoSpaceDE w:val="0"/>
        <w:autoSpaceDN w:val="0"/>
        <w:adjustRightInd w:val="0"/>
        <w:spacing w:after="0"/>
        <w:jc w:val="both"/>
        <w:rPr>
          <w:rFonts w:cstheme="minorHAnsi"/>
        </w:rPr>
      </w:pPr>
      <w:r w:rsidRPr="006831CB">
        <w:rPr>
          <w:rFonts w:cstheme="minorHAnsi"/>
          <w:color w:val="000000"/>
        </w:rPr>
        <w:t xml:space="preserve">To evaluate suspected drug-drug interaction: </w:t>
      </w:r>
      <w:r w:rsidR="005F6C44">
        <w:rPr>
          <w:rFonts w:cstheme="minorHAnsi"/>
          <w:color w:val="000000"/>
        </w:rPr>
        <w:t>Amiodarone</w:t>
      </w:r>
      <w:r w:rsidRPr="006831CB">
        <w:rPr>
          <w:rFonts w:cstheme="minorHAnsi"/>
          <w:color w:val="000000"/>
        </w:rPr>
        <w:t>-</w:t>
      </w:r>
      <w:r w:rsidR="005F6C44">
        <w:rPr>
          <w:rFonts w:cstheme="minorHAnsi"/>
          <w:color w:val="000000"/>
        </w:rPr>
        <w:t>phenytoin interaction resulting in de</w:t>
      </w:r>
      <w:r w:rsidRPr="006831CB">
        <w:rPr>
          <w:rFonts w:cstheme="minorHAnsi"/>
          <w:color w:val="000000"/>
        </w:rPr>
        <w:t xml:space="preserve">creased </w:t>
      </w:r>
      <w:r w:rsidR="005F6C44">
        <w:rPr>
          <w:rFonts w:cstheme="minorHAnsi"/>
          <w:color w:val="000000"/>
        </w:rPr>
        <w:t xml:space="preserve">amiodarone </w:t>
      </w:r>
      <w:r w:rsidRPr="006831CB">
        <w:rPr>
          <w:rFonts w:cstheme="minorHAnsi"/>
          <w:color w:val="000000"/>
        </w:rPr>
        <w:t>plasma concentration</w:t>
      </w:r>
      <w:r w:rsidR="005F6C44">
        <w:rPr>
          <w:rFonts w:cstheme="minorHAnsi"/>
          <w:color w:val="000000"/>
        </w:rPr>
        <w:t>.</w:t>
      </w:r>
    </w:p>
    <w:p w:rsidR="005F6C44" w:rsidRDefault="006831CB" w:rsidP="00922D3F">
      <w:pPr>
        <w:autoSpaceDE w:val="0"/>
        <w:autoSpaceDN w:val="0"/>
        <w:adjustRightInd w:val="0"/>
        <w:spacing w:after="0"/>
        <w:jc w:val="both"/>
        <w:rPr>
          <w:rFonts w:cstheme="minorHAnsi"/>
          <w:color w:val="000000"/>
        </w:rPr>
      </w:pPr>
      <w:r w:rsidRPr="006831CB">
        <w:rPr>
          <w:rFonts w:cstheme="minorHAnsi"/>
          <w:color w:val="000000"/>
        </w:rPr>
        <w:t>To assess medication adherence: poor therapeutic respons</w:t>
      </w:r>
      <w:r w:rsidR="005F6C44">
        <w:rPr>
          <w:rFonts w:cstheme="minorHAnsi"/>
          <w:color w:val="000000"/>
        </w:rPr>
        <w:t>e</w:t>
      </w:r>
    </w:p>
    <w:p w:rsidR="005F6C44" w:rsidRDefault="005F6C44" w:rsidP="00922D3F">
      <w:pPr>
        <w:autoSpaceDE w:val="0"/>
        <w:autoSpaceDN w:val="0"/>
        <w:adjustRightInd w:val="0"/>
        <w:spacing w:after="0"/>
        <w:jc w:val="both"/>
        <w:rPr>
          <w:rFonts w:cstheme="minorHAnsi"/>
          <w:color w:val="000000"/>
        </w:rPr>
      </w:pPr>
      <w:r>
        <w:rPr>
          <w:rFonts w:cstheme="minorHAnsi"/>
          <w:color w:val="000000"/>
        </w:rPr>
        <w:t>To assess and monitor rhythm abnormalities.</w:t>
      </w:r>
    </w:p>
    <w:p w:rsidR="005F6C44" w:rsidRPr="005F6C44" w:rsidRDefault="005F6C44" w:rsidP="00922D3F">
      <w:pPr>
        <w:autoSpaceDE w:val="0"/>
        <w:autoSpaceDN w:val="0"/>
        <w:adjustRightInd w:val="0"/>
        <w:spacing w:after="0"/>
        <w:jc w:val="both"/>
        <w:rPr>
          <w:rFonts w:cstheme="minorHAnsi"/>
          <w:b/>
          <w:bCs/>
          <w:vertAlign w:val="superscript"/>
        </w:rPr>
      </w:pPr>
    </w:p>
    <w:p w:rsidR="00CB70AD" w:rsidRPr="00922D3F" w:rsidRDefault="00B06FD7" w:rsidP="00922D3F">
      <w:pPr>
        <w:autoSpaceDE w:val="0"/>
        <w:autoSpaceDN w:val="0"/>
        <w:adjustRightInd w:val="0"/>
        <w:spacing w:after="0"/>
        <w:jc w:val="both"/>
        <w:rPr>
          <w:rFonts w:cstheme="minorHAnsi"/>
          <w:b/>
        </w:rPr>
      </w:pPr>
      <w:r w:rsidRPr="00922D3F">
        <w:rPr>
          <w:rFonts w:cstheme="minorHAnsi"/>
          <w:b/>
        </w:rPr>
        <w:t>Ther</w:t>
      </w:r>
      <w:r w:rsidR="008D2818" w:rsidRPr="00922D3F">
        <w:rPr>
          <w:rFonts w:cstheme="minorHAnsi"/>
          <w:b/>
        </w:rPr>
        <w:t>apeutic and Toxic Levels</w:t>
      </w:r>
      <w:r w:rsidRPr="00922D3F">
        <w:rPr>
          <w:rFonts w:cstheme="minorHAnsi"/>
          <w:b/>
        </w:rPr>
        <w:t>:</w:t>
      </w:r>
    </w:p>
    <w:p w:rsidR="00034146" w:rsidRPr="00922D3F" w:rsidRDefault="00B06FD7" w:rsidP="00922D3F">
      <w:pPr>
        <w:spacing w:after="0"/>
        <w:jc w:val="both"/>
        <w:rPr>
          <w:rFonts w:eastAsia="Times New Roman" w:cstheme="minorHAnsi"/>
        </w:rPr>
      </w:pPr>
      <w:bookmarkStart w:id="0" w:name="rei"/>
      <w:r w:rsidRPr="00922D3F">
        <w:rPr>
          <w:rFonts w:eastAsia="Times New Roman" w:cstheme="minorHAnsi"/>
        </w:rPr>
        <w:t>Therapeutic Levels</w:t>
      </w:r>
      <w:bookmarkEnd w:id="0"/>
      <w:r w:rsidRPr="00922D3F">
        <w:rPr>
          <w:rFonts w:eastAsia="Times New Roman" w:cstheme="minorHAnsi"/>
        </w:rPr>
        <w:t>:</w:t>
      </w:r>
    </w:p>
    <w:p w:rsidR="00034146" w:rsidRPr="00922D3F" w:rsidRDefault="002D2BD0" w:rsidP="00922D3F">
      <w:pPr>
        <w:spacing w:after="0"/>
        <w:jc w:val="both"/>
        <w:rPr>
          <w:rFonts w:eastAsia="Times New Roman" w:cstheme="minorHAnsi"/>
        </w:rPr>
      </w:pPr>
      <w:r>
        <w:rPr>
          <w:rFonts w:eastAsia="Times New Roman" w:cstheme="minorHAnsi"/>
        </w:rPr>
        <w:t xml:space="preserve">≤ 2.5 </w:t>
      </w:r>
      <w:r w:rsidRPr="00922D3F">
        <w:rPr>
          <w:rFonts w:eastAsia="Times New Roman" w:cstheme="minorHAnsi"/>
        </w:rPr>
        <w:t>μg</w:t>
      </w:r>
      <w:r>
        <w:rPr>
          <w:rFonts w:eastAsia="Times New Roman" w:cstheme="minorHAnsi"/>
        </w:rPr>
        <w:t xml:space="preserve">/ml </w:t>
      </w:r>
    </w:p>
    <w:p w:rsidR="00BF10D2" w:rsidRPr="00922D3F" w:rsidRDefault="00BF10D2" w:rsidP="00922D3F">
      <w:pPr>
        <w:spacing w:after="0"/>
        <w:jc w:val="both"/>
        <w:rPr>
          <w:rFonts w:eastAsia="Times New Roman" w:cstheme="minorHAnsi"/>
        </w:rPr>
      </w:pPr>
      <w:r w:rsidRPr="00922D3F">
        <w:rPr>
          <w:rFonts w:eastAsia="Times New Roman" w:cstheme="minorHAnsi"/>
        </w:rPr>
        <w:lastRenderedPageBreak/>
        <w:t>P</w:t>
      </w:r>
      <w:r w:rsidR="002D2BD0">
        <w:rPr>
          <w:rFonts w:eastAsia="Times New Roman" w:cstheme="minorHAnsi"/>
        </w:rPr>
        <w:t>o</w:t>
      </w:r>
      <w:r w:rsidRPr="00922D3F">
        <w:rPr>
          <w:rFonts w:eastAsia="Times New Roman" w:cstheme="minorHAnsi"/>
        </w:rPr>
        <w:t xml:space="preserve">ssible </w:t>
      </w:r>
      <w:r w:rsidR="00B06FD7" w:rsidRPr="00922D3F">
        <w:rPr>
          <w:rFonts w:eastAsia="Times New Roman" w:cstheme="minorHAnsi"/>
        </w:rPr>
        <w:t>Toxic</w:t>
      </w:r>
      <w:r w:rsidRPr="00922D3F">
        <w:rPr>
          <w:rFonts w:eastAsia="Times New Roman" w:cstheme="minorHAnsi"/>
        </w:rPr>
        <w:t xml:space="preserve"> level</w:t>
      </w:r>
      <w:r w:rsidR="002D2BD0">
        <w:rPr>
          <w:rFonts w:eastAsia="Times New Roman" w:cstheme="minorHAnsi"/>
        </w:rPr>
        <w:t xml:space="preserve">: &gt; </w:t>
      </w:r>
      <w:r w:rsidR="00B06FD7" w:rsidRPr="00922D3F">
        <w:rPr>
          <w:rFonts w:eastAsia="Times New Roman" w:cstheme="minorHAnsi"/>
        </w:rPr>
        <w:t>2</w:t>
      </w:r>
      <w:r w:rsidR="002D2BD0">
        <w:rPr>
          <w:rFonts w:eastAsia="Times New Roman" w:cstheme="minorHAnsi"/>
        </w:rPr>
        <w:t>.5</w:t>
      </w:r>
      <w:r w:rsidR="00B06FD7" w:rsidRPr="00922D3F">
        <w:rPr>
          <w:rFonts w:eastAsia="Times New Roman" w:cstheme="minorHAnsi"/>
        </w:rPr>
        <w:t xml:space="preserve"> μg/mL</w:t>
      </w:r>
    </w:p>
    <w:p w:rsidR="00B06FD7" w:rsidRPr="00922D3F" w:rsidRDefault="002D2BD0" w:rsidP="00922D3F">
      <w:pPr>
        <w:spacing w:after="0"/>
        <w:jc w:val="both"/>
        <w:rPr>
          <w:rFonts w:eastAsia="Times New Roman" w:cstheme="minorHAnsi"/>
        </w:rPr>
      </w:pPr>
      <w:r>
        <w:rPr>
          <w:rFonts w:eastAsia="Times New Roman" w:cstheme="minorHAnsi"/>
        </w:rPr>
        <w:t>Critical level:  &gt; 5</w:t>
      </w:r>
      <w:r w:rsidR="00BF10D2" w:rsidRPr="00922D3F">
        <w:rPr>
          <w:rFonts w:eastAsia="Times New Roman" w:cstheme="minorHAnsi"/>
        </w:rPr>
        <w:t xml:space="preserve"> μg/mL</w:t>
      </w:r>
      <w:r w:rsidR="00BF10D2" w:rsidRPr="00922D3F">
        <w:rPr>
          <w:rFonts w:eastAsia="Times New Roman" w:cstheme="minorHAnsi"/>
          <w:vertAlign w:val="superscript"/>
        </w:rPr>
        <w:t xml:space="preserve"> </w:t>
      </w:r>
      <w:r>
        <w:rPr>
          <w:rFonts w:eastAsia="Times New Roman" w:cstheme="minorHAnsi"/>
          <w:vertAlign w:val="superscript"/>
        </w:rPr>
        <w:t>2</w:t>
      </w:r>
    </w:p>
    <w:p w:rsidR="00034146" w:rsidRPr="00922D3F" w:rsidRDefault="00034146" w:rsidP="00922D3F">
      <w:pPr>
        <w:spacing w:after="0"/>
        <w:jc w:val="both"/>
        <w:rPr>
          <w:rFonts w:eastAsia="Times New Roman" w:cstheme="minorHAnsi"/>
          <w:b/>
        </w:rPr>
      </w:pPr>
      <w:bookmarkStart w:id="1" w:name="spe"/>
    </w:p>
    <w:p w:rsidR="00C31BEF" w:rsidRPr="00922D3F" w:rsidRDefault="000C18AF" w:rsidP="00922D3F">
      <w:pPr>
        <w:spacing w:after="0"/>
        <w:jc w:val="both"/>
        <w:rPr>
          <w:rFonts w:eastAsia="Times New Roman" w:cstheme="minorHAnsi"/>
          <w:b/>
        </w:rPr>
      </w:pPr>
      <w:r w:rsidRPr="00922D3F">
        <w:rPr>
          <w:rFonts w:eastAsia="Times New Roman" w:cstheme="minorHAnsi"/>
          <w:b/>
        </w:rPr>
        <w:t>Assay Parameters</w:t>
      </w:r>
      <w:r w:rsidR="00C31BEF" w:rsidRPr="00922D3F">
        <w:rPr>
          <w:rFonts w:eastAsia="Times New Roman" w:cstheme="minorHAnsi"/>
          <w:b/>
        </w:rPr>
        <w:t>:</w:t>
      </w:r>
    </w:p>
    <w:p w:rsidR="00034146" w:rsidRPr="00922D3F" w:rsidRDefault="00C31BEF" w:rsidP="00922D3F">
      <w:pPr>
        <w:spacing w:after="0"/>
        <w:jc w:val="both"/>
        <w:rPr>
          <w:rFonts w:eastAsia="Times New Roman" w:cstheme="minorHAnsi"/>
        </w:rPr>
      </w:pPr>
      <w:r w:rsidRPr="00922D3F">
        <w:rPr>
          <w:rFonts w:eastAsia="Times New Roman" w:cstheme="minorHAnsi"/>
        </w:rPr>
        <w:t>S</w:t>
      </w:r>
      <w:r w:rsidR="000C18AF" w:rsidRPr="00922D3F">
        <w:rPr>
          <w:rFonts w:eastAsia="Times New Roman" w:cstheme="minorHAnsi"/>
        </w:rPr>
        <w:t>ample</w:t>
      </w:r>
      <w:bookmarkEnd w:id="1"/>
      <w:r w:rsidRPr="00922D3F">
        <w:rPr>
          <w:rFonts w:eastAsia="Times New Roman" w:cstheme="minorHAnsi"/>
        </w:rPr>
        <w:t>:</w:t>
      </w:r>
    </w:p>
    <w:p w:rsidR="00034146" w:rsidRPr="00922D3F" w:rsidRDefault="00C31BEF" w:rsidP="00922D3F">
      <w:pPr>
        <w:spacing w:after="0"/>
        <w:jc w:val="both"/>
        <w:rPr>
          <w:rFonts w:eastAsia="Times New Roman" w:cstheme="minorHAnsi"/>
        </w:rPr>
      </w:pPr>
      <w:r w:rsidRPr="00922D3F">
        <w:rPr>
          <w:rFonts w:eastAsia="Times New Roman" w:cstheme="minorHAnsi"/>
        </w:rPr>
        <w:t>1 mL serum or plasma (0.5 mL minimum)</w:t>
      </w:r>
      <w:bookmarkStart w:id="2" w:name="con"/>
    </w:p>
    <w:p w:rsidR="00250CE2" w:rsidRPr="00922D3F" w:rsidRDefault="00250CE2" w:rsidP="00922D3F">
      <w:pPr>
        <w:spacing w:after="0"/>
        <w:jc w:val="both"/>
        <w:rPr>
          <w:rFonts w:eastAsia="Times New Roman" w:cstheme="minorHAnsi"/>
        </w:rPr>
      </w:pPr>
    </w:p>
    <w:p w:rsidR="00034146" w:rsidRPr="00922D3F" w:rsidRDefault="00C31BEF" w:rsidP="00922D3F">
      <w:pPr>
        <w:spacing w:after="0"/>
        <w:jc w:val="both"/>
        <w:rPr>
          <w:rFonts w:eastAsia="Times New Roman" w:cstheme="minorHAnsi"/>
        </w:rPr>
      </w:pPr>
      <w:r w:rsidRPr="00922D3F">
        <w:rPr>
          <w:rFonts w:eastAsia="Times New Roman" w:cstheme="minorHAnsi"/>
        </w:rPr>
        <w:t>Container</w:t>
      </w:r>
      <w:bookmarkEnd w:id="2"/>
      <w:r w:rsidRPr="00922D3F">
        <w:rPr>
          <w:rFonts w:eastAsia="Times New Roman" w:cstheme="minorHAnsi"/>
        </w:rPr>
        <w:t>:</w:t>
      </w:r>
    </w:p>
    <w:p w:rsidR="00C31BEF" w:rsidRPr="00922D3F" w:rsidRDefault="00324B62" w:rsidP="00922D3F">
      <w:pPr>
        <w:spacing w:after="0"/>
        <w:jc w:val="both"/>
        <w:rPr>
          <w:rFonts w:eastAsia="Times New Roman" w:cstheme="minorHAnsi"/>
        </w:rPr>
      </w:pPr>
      <w:r>
        <w:rPr>
          <w:rFonts w:eastAsia="Times New Roman" w:cstheme="minorHAnsi"/>
        </w:rPr>
        <w:t xml:space="preserve">Red top (no additive) tube. </w:t>
      </w:r>
      <w:r w:rsidR="00C31BEF" w:rsidRPr="00922D3F">
        <w:rPr>
          <w:rFonts w:eastAsia="Times New Roman" w:cstheme="minorHAnsi"/>
        </w:rPr>
        <w:t>Containers are laboratory and methodology specific.</w:t>
      </w:r>
    </w:p>
    <w:p w:rsidR="00034146" w:rsidRPr="00922D3F" w:rsidRDefault="00034146" w:rsidP="00922D3F">
      <w:pPr>
        <w:spacing w:after="0"/>
        <w:jc w:val="both"/>
        <w:rPr>
          <w:rFonts w:eastAsia="Times New Roman" w:cstheme="minorHAnsi"/>
        </w:rPr>
      </w:pPr>
      <w:bookmarkStart w:id="3" w:name="col"/>
    </w:p>
    <w:p w:rsidR="00034146" w:rsidRPr="00922D3F" w:rsidRDefault="00C31BEF" w:rsidP="00922D3F">
      <w:pPr>
        <w:spacing w:after="0"/>
        <w:jc w:val="both"/>
        <w:rPr>
          <w:rFonts w:eastAsia="Times New Roman" w:cstheme="minorHAnsi"/>
        </w:rPr>
      </w:pPr>
      <w:r w:rsidRPr="00922D3F">
        <w:rPr>
          <w:rFonts w:eastAsia="Times New Roman" w:cstheme="minorHAnsi"/>
        </w:rPr>
        <w:t>Collection</w:t>
      </w:r>
      <w:bookmarkEnd w:id="3"/>
      <w:r w:rsidRPr="00922D3F">
        <w:rPr>
          <w:rFonts w:eastAsia="Times New Roman" w:cstheme="minorHAnsi"/>
        </w:rPr>
        <w:t>:</w:t>
      </w:r>
    </w:p>
    <w:p w:rsidR="00C31BEF" w:rsidRPr="00922D3F" w:rsidRDefault="00C31BEF" w:rsidP="00922D3F">
      <w:pPr>
        <w:spacing w:after="0"/>
        <w:jc w:val="both"/>
        <w:rPr>
          <w:rFonts w:eastAsia="Times New Roman" w:cstheme="minorHAnsi"/>
        </w:rPr>
      </w:pPr>
      <w:r w:rsidRPr="00922D3F">
        <w:rPr>
          <w:rFonts w:eastAsia="Times New Roman" w:cstheme="minorHAnsi"/>
        </w:rPr>
        <w:t>Routine venipuncture. Separate serum or plasma from cells as soon as possible. A consistent sampling time, ideally a trough leve</w:t>
      </w:r>
      <w:r w:rsidR="00FF02CF" w:rsidRPr="00922D3F">
        <w:rPr>
          <w:rFonts w:eastAsia="Times New Roman" w:cstheme="minorHAnsi"/>
        </w:rPr>
        <w:t>l 30 minutes prior to next dose</w:t>
      </w:r>
      <w:r w:rsidRPr="00922D3F">
        <w:rPr>
          <w:rFonts w:eastAsia="Times New Roman" w:cstheme="minorHAnsi"/>
        </w:rPr>
        <w:t xml:space="preserve"> should be used to monitor patients on chronic therapy.</w:t>
      </w:r>
    </w:p>
    <w:p w:rsidR="00034146" w:rsidRPr="00922D3F" w:rsidRDefault="00034146" w:rsidP="00922D3F">
      <w:pPr>
        <w:spacing w:after="0"/>
        <w:jc w:val="both"/>
        <w:rPr>
          <w:rFonts w:eastAsia="Times New Roman" w:cstheme="minorHAnsi"/>
        </w:rPr>
      </w:pPr>
      <w:bookmarkStart w:id="4" w:name="sti"/>
    </w:p>
    <w:p w:rsidR="000C18AF" w:rsidRPr="00922D3F" w:rsidRDefault="00C31BEF" w:rsidP="00922D3F">
      <w:pPr>
        <w:spacing w:after="0"/>
        <w:jc w:val="both"/>
        <w:rPr>
          <w:rFonts w:eastAsia="Times New Roman" w:cstheme="minorHAnsi"/>
        </w:rPr>
      </w:pPr>
      <w:r w:rsidRPr="00922D3F">
        <w:rPr>
          <w:rFonts w:eastAsia="Times New Roman" w:cstheme="minorHAnsi"/>
        </w:rPr>
        <w:t>Storage Instructions</w:t>
      </w:r>
      <w:bookmarkEnd w:id="4"/>
      <w:r w:rsidRPr="00922D3F">
        <w:rPr>
          <w:rFonts w:eastAsia="Times New Roman" w:cstheme="minorHAnsi"/>
        </w:rPr>
        <w:t>:</w:t>
      </w:r>
    </w:p>
    <w:p w:rsidR="00D30A3D" w:rsidRDefault="000C18AF" w:rsidP="00D30A3D">
      <w:pPr>
        <w:jc w:val="both"/>
        <w:rPr>
          <w:rFonts w:cstheme="minorHAnsi"/>
        </w:rPr>
      </w:pPr>
      <w:r w:rsidRPr="00922D3F">
        <w:rPr>
          <w:rFonts w:eastAsia="Times New Roman" w:cstheme="minorHAnsi"/>
        </w:rPr>
        <w:t>Maintain sample</w:t>
      </w:r>
      <w:r w:rsidR="00C31BEF" w:rsidRPr="00922D3F">
        <w:rPr>
          <w:rFonts w:eastAsia="Times New Roman" w:cstheme="minorHAnsi"/>
        </w:rPr>
        <w:t xml:space="preserve"> at room temperature or refrigerate.</w:t>
      </w:r>
      <w:bookmarkStart w:id="5" w:name="met"/>
      <w:r w:rsidR="00970574" w:rsidRPr="00922D3F">
        <w:rPr>
          <w:rFonts w:eastAsia="Times New Roman" w:cstheme="minorHAnsi"/>
          <w:vertAlign w:val="superscript"/>
        </w:rPr>
        <w:t xml:space="preserve"> </w:t>
      </w:r>
      <w:r w:rsidR="00E276C9">
        <w:rPr>
          <w:rFonts w:eastAsia="Times New Roman" w:cstheme="minorHAnsi"/>
          <w:vertAlign w:val="superscript"/>
        </w:rPr>
        <w:t>2</w:t>
      </w:r>
      <w:r w:rsidR="00D30A3D" w:rsidRPr="00D30A3D">
        <w:rPr>
          <w:rFonts w:cstheme="minorHAnsi"/>
        </w:rPr>
        <w:t xml:space="preserve"> </w:t>
      </w:r>
    </w:p>
    <w:p w:rsidR="00D30A3D" w:rsidRPr="00D30A3D" w:rsidRDefault="00D30A3D" w:rsidP="00D30A3D">
      <w:pPr>
        <w:jc w:val="both"/>
        <w:rPr>
          <w:rFonts w:cstheme="minorHAnsi"/>
          <w:b/>
        </w:rPr>
      </w:pPr>
      <w:r w:rsidRPr="00D30A3D">
        <w:rPr>
          <w:rFonts w:cstheme="minorHAnsi"/>
          <w:b/>
        </w:rPr>
        <w:t>Drug interactions:</w:t>
      </w:r>
    </w:p>
    <w:p w:rsidR="00D30A3D" w:rsidRPr="00A67E4F" w:rsidRDefault="00D30A3D" w:rsidP="00D30A3D">
      <w:pPr>
        <w:jc w:val="both"/>
        <w:rPr>
          <w:rFonts w:cstheme="minorHAnsi"/>
        </w:rPr>
      </w:pPr>
      <w:r w:rsidRPr="00A67E4F">
        <w:rPr>
          <w:rFonts w:cstheme="minorHAnsi"/>
        </w:rPr>
        <w:t>Amiodarone can potentiate effects of warfarin, elevating prothrombin time. It can elevate serum digoxin level, levels of other antiarrhythmic drugs including quinidine, procainamide, mexiletine, and propafenone. There are effects with anesthetics, β-blocker</w:t>
      </w:r>
      <w:r>
        <w:rPr>
          <w:rFonts w:cstheme="minorHAnsi"/>
        </w:rPr>
        <w:t>s, or calcium channel blockers.</w:t>
      </w:r>
      <w:r w:rsidRPr="00A67E4F">
        <w:rPr>
          <w:rFonts w:cstheme="minorHAnsi"/>
        </w:rPr>
        <w:t xml:space="preserve"> Serum level of amiodarone is decreased by concomitant administration of cholestyramine or phenytoin and increased by cimetidine.</w:t>
      </w:r>
      <w:r w:rsidR="009910BE" w:rsidRPr="009910BE">
        <w:rPr>
          <w:rFonts w:cstheme="minorHAnsi"/>
          <w:b/>
          <w:vertAlign w:val="superscript"/>
        </w:rPr>
        <w:t>2</w:t>
      </w:r>
    </w:p>
    <w:p w:rsidR="00C31BEF" w:rsidRPr="00922D3F" w:rsidRDefault="00D05AF8" w:rsidP="00922D3F">
      <w:pPr>
        <w:spacing w:after="0"/>
        <w:jc w:val="both"/>
        <w:rPr>
          <w:rFonts w:eastAsia="Times New Roman" w:cstheme="minorHAnsi"/>
          <w:b/>
        </w:rPr>
      </w:pPr>
      <w:r w:rsidRPr="00922D3F">
        <w:rPr>
          <w:rFonts w:eastAsia="Times New Roman" w:cstheme="minorHAnsi"/>
          <w:b/>
        </w:rPr>
        <w:t xml:space="preserve">Analytical </w:t>
      </w:r>
      <w:r w:rsidR="00C31BEF" w:rsidRPr="00922D3F">
        <w:rPr>
          <w:rFonts w:eastAsia="Times New Roman" w:cstheme="minorHAnsi"/>
          <w:b/>
        </w:rPr>
        <w:t>Method</w:t>
      </w:r>
      <w:bookmarkEnd w:id="5"/>
      <w:r w:rsidRPr="00922D3F">
        <w:rPr>
          <w:rFonts w:eastAsia="Times New Roman" w:cstheme="minorHAnsi"/>
          <w:b/>
        </w:rPr>
        <w:t>s</w:t>
      </w:r>
      <w:r w:rsidR="00C31BEF" w:rsidRPr="00922D3F">
        <w:rPr>
          <w:rFonts w:eastAsia="Times New Roman" w:cstheme="minorHAnsi"/>
          <w:b/>
        </w:rPr>
        <w:t>:</w:t>
      </w:r>
    </w:p>
    <w:p w:rsidR="00E276C9" w:rsidRDefault="00146CBE" w:rsidP="00922D3F">
      <w:pPr>
        <w:autoSpaceDE w:val="0"/>
        <w:autoSpaceDN w:val="0"/>
        <w:adjustRightInd w:val="0"/>
        <w:spacing w:after="0"/>
        <w:jc w:val="both"/>
        <w:rPr>
          <w:rFonts w:eastAsia="Times New Roman" w:cstheme="minorHAnsi"/>
        </w:rPr>
      </w:pPr>
      <w:r>
        <w:rPr>
          <w:rFonts w:eastAsia="Times-Roman" w:cstheme="minorHAnsi"/>
          <w:color w:val="000000"/>
        </w:rPr>
        <w:t>P</w:t>
      </w:r>
      <w:r w:rsidR="00D211FD" w:rsidRPr="00922D3F">
        <w:rPr>
          <w:rFonts w:eastAsia="Times-Roman" w:cstheme="minorHAnsi"/>
          <w:color w:val="000000"/>
        </w:rPr>
        <w:t xml:space="preserve">rimary </w:t>
      </w:r>
      <w:r>
        <w:rPr>
          <w:rFonts w:eastAsia="Times-Roman" w:cstheme="minorHAnsi"/>
          <w:color w:val="000000"/>
        </w:rPr>
        <w:t xml:space="preserve">and only </w:t>
      </w:r>
      <w:r w:rsidR="00D211FD" w:rsidRPr="00922D3F">
        <w:rPr>
          <w:rFonts w:eastAsia="Times-Roman" w:cstheme="minorHAnsi"/>
          <w:color w:val="000000"/>
        </w:rPr>
        <w:t>methodology</w:t>
      </w:r>
      <w:r>
        <w:rPr>
          <w:rFonts w:eastAsia="Times-Roman" w:cstheme="minorHAnsi"/>
          <w:color w:val="000000"/>
        </w:rPr>
        <w:t xml:space="preserve"> available</w:t>
      </w:r>
      <w:r w:rsidR="00D211FD" w:rsidRPr="00922D3F">
        <w:rPr>
          <w:rFonts w:eastAsia="Times-Roman" w:cstheme="minorHAnsi"/>
          <w:color w:val="000000"/>
        </w:rPr>
        <w:t xml:space="preserve"> f</w:t>
      </w:r>
      <w:r w:rsidR="00352B18">
        <w:rPr>
          <w:rFonts w:eastAsia="Times-Roman" w:cstheme="minorHAnsi"/>
          <w:color w:val="000000"/>
        </w:rPr>
        <w:t>or the analysis of amiodarone is</w:t>
      </w:r>
      <w:r w:rsidR="00D211FD" w:rsidRPr="00922D3F">
        <w:rPr>
          <w:rFonts w:eastAsia="Times-Roman" w:cstheme="minorHAnsi"/>
          <w:color w:val="000000"/>
        </w:rPr>
        <w:t xml:space="preserve"> </w:t>
      </w:r>
      <w:r w:rsidR="00C31BEF" w:rsidRPr="00922D3F">
        <w:rPr>
          <w:rFonts w:eastAsia="Times New Roman" w:cstheme="minorHAnsi"/>
        </w:rPr>
        <w:t>high performance liquid chromatography (HPLC</w:t>
      </w:r>
      <w:r w:rsidR="00E276C9">
        <w:rPr>
          <w:rFonts w:eastAsia="Times New Roman" w:cstheme="minorHAnsi"/>
        </w:rPr>
        <w:t>).</w:t>
      </w:r>
    </w:p>
    <w:p w:rsidR="00B97DC8" w:rsidRPr="00922D3F" w:rsidRDefault="00B97DC8" w:rsidP="00922D3F">
      <w:pPr>
        <w:autoSpaceDE w:val="0"/>
        <w:autoSpaceDN w:val="0"/>
        <w:adjustRightInd w:val="0"/>
        <w:spacing w:after="0"/>
        <w:jc w:val="both"/>
        <w:rPr>
          <w:rFonts w:eastAsia="Times-Roman" w:cstheme="minorHAnsi"/>
          <w:color w:val="000000"/>
        </w:rPr>
      </w:pPr>
    </w:p>
    <w:p w:rsidR="00B97DC8" w:rsidRPr="00922D3F" w:rsidRDefault="00B97DC8" w:rsidP="00922D3F">
      <w:pPr>
        <w:autoSpaceDE w:val="0"/>
        <w:autoSpaceDN w:val="0"/>
        <w:adjustRightInd w:val="0"/>
        <w:spacing w:after="0"/>
        <w:jc w:val="both"/>
        <w:rPr>
          <w:rFonts w:eastAsia="Times-Roman" w:cstheme="minorHAnsi"/>
          <w:b/>
          <w:color w:val="000000"/>
        </w:rPr>
      </w:pPr>
      <w:r w:rsidRPr="00922D3F">
        <w:rPr>
          <w:rFonts w:eastAsia="Times-Roman" w:cstheme="minorHAnsi"/>
          <w:b/>
          <w:color w:val="000000"/>
        </w:rPr>
        <w:t>HPLC:</w:t>
      </w:r>
    </w:p>
    <w:p w:rsidR="00B97DC8" w:rsidRPr="00BE10B6" w:rsidRDefault="00E26CAF" w:rsidP="00BE10B6">
      <w:pPr>
        <w:spacing w:after="0"/>
        <w:jc w:val="both"/>
        <w:rPr>
          <w:rFonts w:eastAsia="Times New Roman" w:cstheme="minorHAnsi"/>
        </w:rPr>
      </w:pPr>
      <w:r>
        <w:rPr>
          <w:rFonts w:eastAsia="Times New Roman" w:cstheme="minorHAnsi"/>
        </w:rPr>
        <w:t xml:space="preserve">A) </w:t>
      </w:r>
      <w:r w:rsidR="00BE10B6" w:rsidRPr="00BE10B6">
        <w:rPr>
          <w:rFonts w:eastAsia="Times New Roman" w:cstheme="minorHAnsi"/>
        </w:rPr>
        <w:t>The sample is passed through a silica-C</w:t>
      </w:r>
      <w:r w:rsidR="00BE10B6" w:rsidRPr="00BE10B6">
        <w:rPr>
          <w:rFonts w:eastAsia="Times New Roman" w:cstheme="minorHAnsi"/>
          <w:vertAlign w:val="subscript"/>
        </w:rPr>
        <w:t>18</w:t>
      </w:r>
      <w:r w:rsidR="00BE10B6" w:rsidRPr="00BE10B6">
        <w:rPr>
          <w:rFonts w:eastAsia="Times New Roman" w:cstheme="minorHAnsi"/>
        </w:rPr>
        <w:t xml:space="preserve"> column, and after washing, the analytes are eluted with methanol. The determination is then accomplished by </w:t>
      </w:r>
      <w:r w:rsidR="00652FCF">
        <w:rPr>
          <w:rFonts w:eastAsia="Times New Roman" w:cstheme="minorHAnsi"/>
        </w:rPr>
        <w:t>Reverse Phase(</w:t>
      </w:r>
      <w:r w:rsidR="00BE10B6" w:rsidRPr="00BE10B6">
        <w:rPr>
          <w:rFonts w:eastAsia="Times New Roman" w:cstheme="minorHAnsi"/>
        </w:rPr>
        <w:t>RP</w:t>
      </w:r>
      <w:r w:rsidR="00652FCF">
        <w:rPr>
          <w:rFonts w:eastAsia="Times New Roman" w:cstheme="minorHAnsi"/>
        </w:rPr>
        <w:t>)</w:t>
      </w:r>
      <w:r w:rsidR="00BE10B6" w:rsidRPr="00BE10B6">
        <w:rPr>
          <w:rFonts w:eastAsia="Times New Roman" w:cstheme="minorHAnsi"/>
        </w:rPr>
        <w:t xml:space="preserve"> HPLC using an octadecyl silica column and a mobile phase of methanol containing 0.0015% of ammonium hydroxide. The effect of ammonia concentration on the capacity factors of the analytes has been used for estimating the acid dissociation constants of the investigated secondary and tertiary amines in metha</w:t>
      </w:r>
      <w:r w:rsidR="00BE10B6">
        <w:rPr>
          <w:rFonts w:eastAsia="Times New Roman" w:cstheme="minorHAnsi"/>
        </w:rPr>
        <w:t>nol.</w:t>
      </w:r>
      <w:r w:rsidR="00BE10B6">
        <w:rPr>
          <w:rFonts w:eastAsia="Times-Roman" w:cstheme="minorHAnsi"/>
          <w:b/>
          <w:color w:val="000000"/>
          <w:vertAlign w:val="superscript"/>
        </w:rPr>
        <w:t>3</w:t>
      </w:r>
    </w:p>
    <w:p w:rsidR="00B97DC8" w:rsidRDefault="00B97DC8" w:rsidP="00922D3F">
      <w:pPr>
        <w:autoSpaceDE w:val="0"/>
        <w:autoSpaceDN w:val="0"/>
        <w:adjustRightInd w:val="0"/>
        <w:spacing w:after="0"/>
        <w:jc w:val="both"/>
        <w:rPr>
          <w:rFonts w:eastAsia="Times-Roman" w:cstheme="minorHAnsi"/>
          <w:color w:val="000000"/>
        </w:rPr>
      </w:pPr>
    </w:p>
    <w:p w:rsidR="00E26CAF" w:rsidRDefault="00E26CAF" w:rsidP="00E26CAF">
      <w:pPr>
        <w:autoSpaceDE w:val="0"/>
        <w:autoSpaceDN w:val="0"/>
        <w:adjustRightInd w:val="0"/>
        <w:spacing w:after="0"/>
        <w:jc w:val="both"/>
        <w:rPr>
          <w:rFonts w:cstheme="minorHAnsi"/>
          <w:color w:val="000000"/>
        </w:rPr>
      </w:pPr>
      <w:r>
        <w:rPr>
          <w:rFonts w:eastAsia="Times-Roman" w:cstheme="minorHAnsi"/>
          <w:color w:val="000000"/>
        </w:rPr>
        <w:t xml:space="preserve">B) </w:t>
      </w:r>
      <w:r>
        <w:rPr>
          <w:rFonts w:cstheme="minorHAnsi"/>
          <w:color w:val="000000"/>
        </w:rPr>
        <w:t>A rapid and reliab</w:t>
      </w:r>
      <w:r w:rsidRPr="00E26CAF">
        <w:rPr>
          <w:rFonts w:cstheme="minorHAnsi"/>
          <w:color w:val="000000"/>
        </w:rPr>
        <w:t>l</w:t>
      </w:r>
      <w:r>
        <w:rPr>
          <w:rFonts w:cstheme="minorHAnsi"/>
          <w:color w:val="000000"/>
        </w:rPr>
        <w:t xml:space="preserve">e </w:t>
      </w:r>
      <w:r w:rsidRPr="00E26CAF">
        <w:rPr>
          <w:rFonts w:cstheme="minorHAnsi"/>
          <w:color w:val="000000"/>
        </w:rPr>
        <w:t>high-per</w:t>
      </w:r>
      <w:r>
        <w:rPr>
          <w:rFonts w:cstheme="minorHAnsi"/>
          <w:color w:val="000000"/>
        </w:rPr>
        <w:t>formance</w:t>
      </w:r>
      <w:r w:rsidRPr="00E26CAF">
        <w:rPr>
          <w:rFonts w:cstheme="minorHAnsi"/>
          <w:color w:val="000000"/>
        </w:rPr>
        <w:t xml:space="preserve"> liquid chro</w:t>
      </w:r>
      <w:r>
        <w:rPr>
          <w:rFonts w:cstheme="minorHAnsi"/>
          <w:color w:val="000000"/>
        </w:rPr>
        <w:t xml:space="preserve">matographic </w:t>
      </w:r>
      <w:r w:rsidRPr="00E26CAF">
        <w:rPr>
          <w:rFonts w:cstheme="minorHAnsi"/>
          <w:color w:val="000000"/>
        </w:rPr>
        <w:t>(HP</w:t>
      </w:r>
      <w:r>
        <w:rPr>
          <w:rFonts w:cstheme="minorHAnsi"/>
          <w:color w:val="000000"/>
        </w:rPr>
        <w:t>LC</w:t>
      </w:r>
      <w:r w:rsidRPr="00E26CAF">
        <w:rPr>
          <w:rFonts w:cstheme="minorHAnsi"/>
          <w:color w:val="000000"/>
        </w:rPr>
        <w:t>) ass</w:t>
      </w:r>
      <w:r>
        <w:rPr>
          <w:rFonts w:cstheme="minorHAnsi"/>
          <w:color w:val="000000"/>
        </w:rPr>
        <w:t>ay has been developed for the measurem</w:t>
      </w:r>
      <w:r w:rsidRPr="00E26CAF">
        <w:rPr>
          <w:rFonts w:cstheme="minorHAnsi"/>
          <w:color w:val="000000"/>
        </w:rPr>
        <w:t>ent</w:t>
      </w:r>
      <w:r>
        <w:rPr>
          <w:rFonts w:cstheme="minorHAnsi"/>
          <w:color w:val="000000"/>
        </w:rPr>
        <w:t xml:space="preserve"> of am</w:t>
      </w:r>
      <w:r w:rsidRPr="00E26CAF">
        <w:rPr>
          <w:rFonts w:cstheme="minorHAnsi"/>
          <w:color w:val="000000"/>
        </w:rPr>
        <w:t>iodarone</w:t>
      </w:r>
      <w:r w:rsidRPr="00E26CAF">
        <w:rPr>
          <w:rFonts w:cstheme="minorHAnsi"/>
          <w:b/>
          <w:bCs/>
          <w:color w:val="000000"/>
        </w:rPr>
        <w:t xml:space="preserve">, </w:t>
      </w:r>
      <w:r w:rsidRPr="00E26CAF">
        <w:rPr>
          <w:rFonts w:cstheme="minorHAnsi"/>
          <w:color w:val="000000"/>
        </w:rPr>
        <w:t>an</w:t>
      </w:r>
      <w:r>
        <w:rPr>
          <w:rFonts w:cstheme="minorHAnsi"/>
          <w:color w:val="000000"/>
        </w:rPr>
        <w:t>d its metabolite, N-desethyl-am</w:t>
      </w:r>
      <w:r w:rsidRPr="00E26CAF">
        <w:rPr>
          <w:rFonts w:cstheme="minorHAnsi"/>
          <w:color w:val="000000"/>
        </w:rPr>
        <w:t>iodar</w:t>
      </w:r>
      <w:r>
        <w:rPr>
          <w:rFonts w:cstheme="minorHAnsi"/>
          <w:color w:val="000000"/>
        </w:rPr>
        <w:t>one</w:t>
      </w:r>
      <w:r w:rsidRPr="00E26CAF">
        <w:rPr>
          <w:rFonts w:cstheme="minorHAnsi"/>
          <w:b/>
          <w:bCs/>
          <w:color w:val="000000"/>
        </w:rPr>
        <w:t xml:space="preserve"> </w:t>
      </w:r>
      <w:r>
        <w:rPr>
          <w:rFonts w:cstheme="minorHAnsi"/>
          <w:color w:val="000000"/>
        </w:rPr>
        <w:t>in serum. The procedure involve</w:t>
      </w:r>
      <w:r w:rsidRPr="00E26CAF">
        <w:rPr>
          <w:rFonts w:cstheme="minorHAnsi"/>
          <w:color w:val="000000"/>
        </w:rPr>
        <w:t>s addition of absolute ethanol to serum,</w:t>
      </w:r>
      <w:r>
        <w:rPr>
          <w:rFonts w:cstheme="minorHAnsi"/>
          <w:color w:val="000000"/>
        </w:rPr>
        <w:t xml:space="preserve"> previously adjusted to pH 6, followed by centrifugation. The supernatant is anal</w:t>
      </w:r>
      <w:r w:rsidRPr="00E26CAF">
        <w:rPr>
          <w:rFonts w:cstheme="minorHAnsi"/>
          <w:color w:val="000000"/>
        </w:rPr>
        <w:t>yzed by reverse-phase HPLC with ultraviolet--visible detection.</w:t>
      </w:r>
      <w:r w:rsidR="00C76D9D" w:rsidRPr="00C76D9D">
        <w:rPr>
          <w:rFonts w:cstheme="minorHAnsi"/>
          <w:b/>
          <w:color w:val="000000"/>
          <w:vertAlign w:val="superscript"/>
        </w:rPr>
        <w:t>4</w:t>
      </w:r>
    </w:p>
    <w:p w:rsidR="00E26CAF" w:rsidRPr="00922D3F" w:rsidRDefault="00E26CAF" w:rsidP="00E26CAF">
      <w:pPr>
        <w:autoSpaceDE w:val="0"/>
        <w:autoSpaceDN w:val="0"/>
        <w:adjustRightInd w:val="0"/>
        <w:spacing w:after="0"/>
        <w:jc w:val="both"/>
        <w:rPr>
          <w:rFonts w:eastAsia="Times-Roman" w:cstheme="minorHAnsi"/>
          <w:color w:val="000000"/>
        </w:rPr>
      </w:pPr>
    </w:p>
    <w:p w:rsidR="00D211FD" w:rsidRPr="00922D3F" w:rsidRDefault="00FC3756" w:rsidP="00922D3F">
      <w:pPr>
        <w:autoSpaceDE w:val="0"/>
        <w:autoSpaceDN w:val="0"/>
        <w:adjustRightInd w:val="0"/>
        <w:spacing w:after="0"/>
        <w:jc w:val="both"/>
        <w:rPr>
          <w:rFonts w:eastAsia="Times New Roman" w:cstheme="minorHAnsi"/>
        </w:rPr>
      </w:pPr>
      <w:r w:rsidRPr="00922D3F">
        <w:rPr>
          <w:rFonts w:eastAsia="Times-Roman" w:cstheme="minorHAnsi"/>
          <w:color w:val="000000"/>
        </w:rPr>
        <w:lastRenderedPageBreak/>
        <w:t>HPLC</w:t>
      </w:r>
      <w:r w:rsidR="00352B18">
        <w:rPr>
          <w:rFonts w:eastAsia="Times-Roman" w:cstheme="minorHAnsi"/>
          <w:color w:val="000000"/>
        </w:rPr>
        <w:t xml:space="preserve"> technique</w:t>
      </w:r>
      <w:r w:rsidR="00D211FD" w:rsidRPr="00922D3F">
        <w:rPr>
          <w:rFonts w:eastAsia="Times-Roman" w:cstheme="minorHAnsi"/>
          <w:color w:val="000000"/>
        </w:rPr>
        <w:t xml:space="preserve"> have the advantage of </w:t>
      </w:r>
      <w:r w:rsidRPr="00922D3F">
        <w:rPr>
          <w:rFonts w:eastAsia="Times-Roman" w:cstheme="minorHAnsi"/>
          <w:color w:val="000000"/>
        </w:rPr>
        <w:t>availability of test and cost</w:t>
      </w:r>
      <w:r w:rsidR="00AE3E77">
        <w:rPr>
          <w:rFonts w:eastAsia="Times-Roman" w:cstheme="minorHAnsi"/>
          <w:color w:val="000000"/>
        </w:rPr>
        <w:t xml:space="preserve"> and </w:t>
      </w:r>
      <w:r w:rsidR="00535FAD" w:rsidRPr="00922D3F">
        <w:rPr>
          <w:rFonts w:eastAsia="Times-Roman" w:cstheme="minorHAnsi"/>
          <w:color w:val="000000"/>
        </w:rPr>
        <w:t>rapid results</w:t>
      </w:r>
      <w:r w:rsidRPr="00922D3F">
        <w:rPr>
          <w:rFonts w:eastAsia="Times-Roman" w:cstheme="minorHAnsi"/>
          <w:color w:val="000000"/>
        </w:rPr>
        <w:t xml:space="preserve"> would give the edge over other analytical methods  in Indian setup</w:t>
      </w:r>
      <w:r w:rsidR="00D211FD" w:rsidRPr="00922D3F">
        <w:rPr>
          <w:rFonts w:eastAsia="Times-Roman" w:cstheme="minorHAnsi"/>
          <w:color w:val="000000"/>
        </w:rPr>
        <w:t>.</w:t>
      </w:r>
    </w:p>
    <w:p w:rsidR="00C31BEF" w:rsidRPr="00922D3F" w:rsidRDefault="00D81355" w:rsidP="00922D3F">
      <w:pPr>
        <w:spacing w:before="100" w:beforeAutospacing="1" w:after="100" w:afterAutospacing="1"/>
        <w:jc w:val="both"/>
        <w:rPr>
          <w:rFonts w:eastAsia="Times New Roman" w:cstheme="minorHAnsi"/>
          <w:b/>
        </w:rPr>
      </w:pPr>
      <w:r w:rsidRPr="00922D3F">
        <w:rPr>
          <w:rFonts w:eastAsia="Times New Roman" w:cstheme="minorHAnsi"/>
          <w:b/>
        </w:rPr>
        <w:t>Conclusion:</w:t>
      </w:r>
    </w:p>
    <w:p w:rsidR="00391B83" w:rsidRPr="00922D3F" w:rsidRDefault="00E81B03" w:rsidP="00922D3F">
      <w:pPr>
        <w:autoSpaceDE w:val="0"/>
        <w:autoSpaceDN w:val="0"/>
        <w:adjustRightInd w:val="0"/>
        <w:spacing w:after="0"/>
        <w:jc w:val="both"/>
        <w:rPr>
          <w:rFonts w:eastAsia="Times New Roman" w:cstheme="minorHAnsi"/>
          <w:b/>
        </w:rPr>
      </w:pPr>
      <w:r w:rsidRPr="00A67E4F">
        <w:rPr>
          <w:rFonts w:cstheme="minorHAnsi"/>
        </w:rPr>
        <w:t>Because of potential t</w:t>
      </w:r>
      <w:r>
        <w:rPr>
          <w:rFonts w:cstheme="minorHAnsi"/>
        </w:rPr>
        <w:t>oxicity, the serum level of amiodarone</w:t>
      </w:r>
      <w:r w:rsidRPr="00A67E4F">
        <w:rPr>
          <w:rFonts w:cstheme="minorHAnsi"/>
        </w:rPr>
        <w:t xml:space="preserve"> should be monitored</w:t>
      </w:r>
      <w:r>
        <w:rPr>
          <w:rFonts w:cstheme="minorHAnsi"/>
        </w:rPr>
        <w:t>.</w:t>
      </w:r>
      <w:r w:rsidRPr="00922D3F">
        <w:rPr>
          <w:rFonts w:eastAsia="Times-Roman" w:cstheme="minorHAnsi"/>
          <w:color w:val="000000"/>
        </w:rPr>
        <w:t xml:space="preserve"> </w:t>
      </w:r>
      <w:r w:rsidR="00E94531" w:rsidRPr="00922D3F">
        <w:rPr>
          <w:rFonts w:eastAsia="Times-Roman" w:cstheme="minorHAnsi"/>
          <w:color w:val="000000"/>
        </w:rPr>
        <w:t xml:space="preserve">The unpredictable relationship between dose and </w:t>
      </w:r>
      <w:r>
        <w:rPr>
          <w:rFonts w:eastAsia="Times-Roman" w:cstheme="minorHAnsi"/>
          <w:color w:val="000000"/>
        </w:rPr>
        <w:t>amiodarone</w:t>
      </w:r>
      <w:r w:rsidR="00E82EDF" w:rsidRPr="00922D3F">
        <w:rPr>
          <w:rFonts w:eastAsia="Times-Roman" w:cstheme="minorHAnsi"/>
          <w:color w:val="000000"/>
        </w:rPr>
        <w:t xml:space="preserve"> </w:t>
      </w:r>
      <w:r w:rsidR="00E94531" w:rsidRPr="00922D3F">
        <w:rPr>
          <w:rFonts w:eastAsia="Times-Roman" w:cstheme="minorHAnsi"/>
          <w:color w:val="000000"/>
        </w:rPr>
        <w:t>concentration, and</w:t>
      </w:r>
      <w:r w:rsidR="00E82EDF" w:rsidRPr="00922D3F">
        <w:rPr>
          <w:rFonts w:eastAsia="Times-Roman" w:cstheme="minorHAnsi"/>
          <w:color w:val="000000"/>
        </w:rPr>
        <w:t xml:space="preserve"> </w:t>
      </w:r>
      <w:r w:rsidR="00E94531" w:rsidRPr="00922D3F">
        <w:rPr>
          <w:rFonts w:eastAsia="Times-Roman" w:cstheme="minorHAnsi"/>
          <w:color w:val="000000"/>
        </w:rPr>
        <w:t>the presence of numerous clinically significant drug interactions</w:t>
      </w:r>
      <w:r w:rsidR="00E82EDF" w:rsidRPr="00922D3F">
        <w:rPr>
          <w:rFonts w:eastAsia="Times-Roman" w:cstheme="minorHAnsi"/>
          <w:color w:val="000000"/>
        </w:rPr>
        <w:t xml:space="preserve"> </w:t>
      </w:r>
      <w:r w:rsidR="00E94531" w:rsidRPr="00922D3F">
        <w:rPr>
          <w:rFonts w:eastAsia="Times-Roman" w:cstheme="minorHAnsi"/>
          <w:color w:val="000000"/>
        </w:rPr>
        <w:t>support the need to individualize and maintain therapy</w:t>
      </w:r>
      <w:r w:rsidR="00E82EDF" w:rsidRPr="00922D3F">
        <w:rPr>
          <w:rFonts w:eastAsia="Times-Roman" w:cstheme="minorHAnsi"/>
          <w:color w:val="000000"/>
        </w:rPr>
        <w:t xml:space="preserve"> </w:t>
      </w:r>
      <w:r w:rsidR="00E94531" w:rsidRPr="00922D3F">
        <w:rPr>
          <w:rFonts w:eastAsia="Times-Roman" w:cstheme="minorHAnsi"/>
          <w:color w:val="000000"/>
        </w:rPr>
        <w:t xml:space="preserve">using TDM. </w:t>
      </w:r>
      <w:r w:rsidR="00ED6A17" w:rsidRPr="00922D3F">
        <w:rPr>
          <w:rFonts w:eastAsia="Times-Roman" w:cstheme="minorHAnsi"/>
        </w:rPr>
        <w:t xml:space="preserve">The accepted therapeutic range for </w:t>
      </w:r>
      <w:r>
        <w:rPr>
          <w:rFonts w:eastAsia="Times-Roman" w:cstheme="minorHAnsi"/>
        </w:rPr>
        <w:t xml:space="preserve">amiodarone </w:t>
      </w:r>
      <w:r w:rsidR="00ED6A17" w:rsidRPr="00922D3F">
        <w:rPr>
          <w:rFonts w:eastAsia="Times-Roman" w:cstheme="minorHAnsi"/>
        </w:rPr>
        <w:t xml:space="preserve">is </w:t>
      </w:r>
      <w:r>
        <w:rPr>
          <w:rFonts w:eastAsia="Times-Roman" w:cstheme="minorHAnsi"/>
        </w:rPr>
        <w:t>≤ 2.5</w:t>
      </w:r>
      <w:r w:rsidR="00ED6A17" w:rsidRPr="00922D3F">
        <w:rPr>
          <w:rFonts w:eastAsia="Times-Roman" w:cstheme="minorHAnsi"/>
        </w:rPr>
        <w:t xml:space="preserve"> </w:t>
      </w:r>
      <w:r w:rsidR="00ED6A17" w:rsidRPr="00922D3F">
        <w:rPr>
          <w:rFonts w:cstheme="minorHAnsi"/>
        </w:rPr>
        <w:t>μ</w:t>
      </w:r>
      <w:r w:rsidR="00ED6A17" w:rsidRPr="00922D3F">
        <w:rPr>
          <w:rFonts w:eastAsia="Times-Roman" w:cstheme="minorHAnsi"/>
        </w:rPr>
        <w:t xml:space="preserve">g/mL when the drug is used for the treatment of </w:t>
      </w:r>
      <w:r>
        <w:rPr>
          <w:rFonts w:eastAsia="Times-Roman" w:cstheme="minorHAnsi"/>
        </w:rPr>
        <w:t>ventricular tachyarrhythmias and fibrillation.</w:t>
      </w:r>
      <w:r w:rsidR="00ED6A17" w:rsidRPr="00922D3F">
        <w:rPr>
          <w:rFonts w:eastAsia="Times-Roman" w:cstheme="minorHAnsi"/>
          <w:color w:val="000000"/>
        </w:rPr>
        <w:t xml:space="preserve"> Because </w:t>
      </w:r>
      <w:r>
        <w:rPr>
          <w:rFonts w:eastAsia="Times-Roman" w:cstheme="minorHAnsi"/>
          <w:color w:val="000000"/>
        </w:rPr>
        <w:t>amiodarone</w:t>
      </w:r>
      <w:r w:rsidR="00E94531" w:rsidRPr="00922D3F">
        <w:rPr>
          <w:rFonts w:eastAsia="Times-Roman" w:cstheme="minorHAnsi"/>
          <w:color w:val="000000"/>
        </w:rPr>
        <w:t xml:space="preserve"> has a relatively</w:t>
      </w:r>
      <w:r w:rsidR="00E82EDF" w:rsidRPr="00922D3F">
        <w:rPr>
          <w:rFonts w:eastAsia="Times-Roman" w:cstheme="minorHAnsi"/>
          <w:color w:val="000000"/>
        </w:rPr>
        <w:t xml:space="preserve"> </w:t>
      </w:r>
      <w:r>
        <w:rPr>
          <w:rFonts w:eastAsia="Times-Roman" w:cstheme="minorHAnsi"/>
          <w:color w:val="000000"/>
        </w:rPr>
        <w:t>longer</w:t>
      </w:r>
      <w:r w:rsidR="00E94531" w:rsidRPr="00922D3F">
        <w:rPr>
          <w:rFonts w:eastAsia="Times-Roman" w:cstheme="minorHAnsi"/>
          <w:color w:val="000000"/>
        </w:rPr>
        <w:t xml:space="preserve"> half-life, sampling time in relation to dose ingestion</w:t>
      </w:r>
      <w:r w:rsidR="00E82EDF" w:rsidRPr="00922D3F">
        <w:rPr>
          <w:rFonts w:eastAsia="Times-Roman" w:cstheme="minorHAnsi"/>
          <w:color w:val="000000"/>
        </w:rPr>
        <w:t xml:space="preserve"> </w:t>
      </w:r>
      <w:r w:rsidR="00E94531" w:rsidRPr="00922D3F">
        <w:rPr>
          <w:rFonts w:eastAsia="Times-Roman" w:cstheme="minorHAnsi"/>
          <w:color w:val="000000"/>
        </w:rPr>
        <w:t>is important for the interpretation of the drug concentration.</w:t>
      </w:r>
      <w:r w:rsidR="00E82EDF" w:rsidRPr="00922D3F">
        <w:rPr>
          <w:rFonts w:eastAsia="Times-Roman" w:cstheme="minorHAnsi"/>
          <w:color w:val="000000"/>
        </w:rPr>
        <w:t xml:space="preserve"> </w:t>
      </w:r>
      <w:r w:rsidR="00E94531" w:rsidRPr="00922D3F">
        <w:rPr>
          <w:rFonts w:eastAsia="Times-Roman" w:cstheme="minorHAnsi"/>
          <w:color w:val="000000"/>
        </w:rPr>
        <w:t xml:space="preserve">Ideally samples for </w:t>
      </w:r>
      <w:r>
        <w:rPr>
          <w:rFonts w:eastAsia="Times-Roman" w:cstheme="minorHAnsi"/>
          <w:color w:val="000000"/>
        </w:rPr>
        <w:t>amiodarone</w:t>
      </w:r>
      <w:r w:rsidR="00E94531" w:rsidRPr="00922D3F">
        <w:rPr>
          <w:rFonts w:eastAsia="Times-Roman" w:cstheme="minorHAnsi"/>
          <w:color w:val="000000"/>
        </w:rPr>
        <w:t xml:space="preserve"> measurements</w:t>
      </w:r>
      <w:r w:rsidR="00E82EDF" w:rsidRPr="00922D3F">
        <w:rPr>
          <w:rFonts w:eastAsia="Times-Roman" w:cstheme="minorHAnsi"/>
          <w:color w:val="000000"/>
        </w:rPr>
        <w:t xml:space="preserve"> </w:t>
      </w:r>
      <w:r w:rsidR="00E94531" w:rsidRPr="00922D3F">
        <w:rPr>
          <w:rFonts w:eastAsia="Times-Roman" w:cstheme="minorHAnsi"/>
          <w:color w:val="000000"/>
        </w:rPr>
        <w:t xml:space="preserve">should be drawn </w:t>
      </w:r>
      <w:r w:rsidR="00096C7E" w:rsidRPr="00922D3F">
        <w:rPr>
          <w:rFonts w:eastAsia="Times-Roman" w:cstheme="minorHAnsi"/>
          <w:color w:val="000000"/>
        </w:rPr>
        <w:t xml:space="preserve">30 minutes </w:t>
      </w:r>
      <w:r w:rsidR="00E94531" w:rsidRPr="00922D3F">
        <w:rPr>
          <w:rFonts w:eastAsia="Times-Roman" w:cstheme="minorHAnsi"/>
          <w:color w:val="000000"/>
        </w:rPr>
        <w:t xml:space="preserve">before the </w:t>
      </w:r>
      <w:r>
        <w:rPr>
          <w:rFonts w:eastAsia="Times-Roman" w:cstheme="minorHAnsi"/>
          <w:color w:val="000000"/>
        </w:rPr>
        <w:t>next</w:t>
      </w:r>
      <w:r w:rsidR="00E94531" w:rsidRPr="00922D3F">
        <w:rPr>
          <w:rFonts w:eastAsia="Times-Roman" w:cstheme="minorHAnsi"/>
          <w:color w:val="000000"/>
        </w:rPr>
        <w:t xml:space="preserve"> dose.</w:t>
      </w:r>
      <w:r w:rsidR="00096C7E" w:rsidRPr="00922D3F">
        <w:rPr>
          <w:rFonts w:eastAsia="Times-Roman" w:cstheme="minorHAnsi"/>
          <w:color w:val="000000"/>
        </w:rPr>
        <w:t xml:space="preserve"> HPLC is the meth</w:t>
      </w:r>
      <w:r>
        <w:rPr>
          <w:rFonts w:eastAsia="Times-Roman" w:cstheme="minorHAnsi"/>
          <w:color w:val="000000"/>
        </w:rPr>
        <w:t>od of choice for analysis of amiodarone</w:t>
      </w:r>
      <w:r w:rsidR="00096C7E" w:rsidRPr="00922D3F">
        <w:rPr>
          <w:rFonts w:eastAsia="Times-Roman" w:cstheme="minorHAnsi"/>
          <w:color w:val="000000"/>
        </w:rPr>
        <w:t xml:space="preserve"> sample in Indian setup.</w:t>
      </w:r>
    </w:p>
    <w:p w:rsidR="002D2AC8" w:rsidRPr="00922D3F" w:rsidRDefault="00D81355" w:rsidP="00922D3F">
      <w:pPr>
        <w:spacing w:before="100" w:beforeAutospacing="1" w:after="100" w:afterAutospacing="1"/>
        <w:jc w:val="both"/>
        <w:rPr>
          <w:rFonts w:eastAsia="Times New Roman" w:cstheme="minorHAnsi"/>
          <w:b/>
        </w:rPr>
      </w:pPr>
      <w:r w:rsidRPr="00922D3F">
        <w:rPr>
          <w:rFonts w:eastAsia="Times New Roman" w:cstheme="minorHAnsi"/>
          <w:b/>
        </w:rPr>
        <w:t>References:</w:t>
      </w:r>
    </w:p>
    <w:p w:rsidR="007B1AA7" w:rsidRPr="00922D3F" w:rsidRDefault="007B1AA7" w:rsidP="00922D3F">
      <w:pPr>
        <w:pStyle w:val="ListParagraph"/>
        <w:numPr>
          <w:ilvl w:val="0"/>
          <w:numId w:val="3"/>
        </w:numPr>
        <w:spacing w:before="100" w:beforeAutospacing="1" w:after="100" w:afterAutospacing="1" w:line="276" w:lineRule="auto"/>
        <w:jc w:val="both"/>
        <w:rPr>
          <w:rFonts w:asciiTheme="minorHAnsi" w:hAnsiTheme="minorHAnsi" w:cstheme="minorHAnsi"/>
          <w:sz w:val="22"/>
          <w:szCs w:val="22"/>
        </w:rPr>
      </w:pPr>
      <w:r w:rsidRPr="00922D3F">
        <w:rPr>
          <w:rFonts w:asciiTheme="minorHAnsi" w:hAnsiTheme="minorHAnsi" w:cstheme="minorHAnsi"/>
          <w:sz w:val="22"/>
          <w:szCs w:val="22"/>
        </w:rPr>
        <w:t xml:space="preserve">Lacy CF, </w:t>
      </w:r>
      <w:r w:rsidR="00903D5E" w:rsidRPr="00922D3F">
        <w:rPr>
          <w:rFonts w:asciiTheme="minorHAnsi" w:hAnsiTheme="minorHAnsi" w:cstheme="minorHAnsi"/>
          <w:sz w:val="22"/>
          <w:szCs w:val="22"/>
        </w:rPr>
        <w:t>Armstrong LL, Goldman MP, et al editors.</w:t>
      </w:r>
      <w:r w:rsidRPr="00922D3F">
        <w:rPr>
          <w:rFonts w:asciiTheme="minorHAnsi" w:hAnsiTheme="minorHAnsi" w:cstheme="minorHAnsi"/>
          <w:sz w:val="22"/>
          <w:szCs w:val="22"/>
        </w:rPr>
        <w:t xml:space="preserve"> Drug Information Handbook, 18th ed,</w:t>
      </w:r>
      <w:r w:rsidR="00B72313" w:rsidRPr="00922D3F">
        <w:rPr>
          <w:rFonts w:asciiTheme="minorHAnsi" w:hAnsiTheme="minorHAnsi" w:cstheme="minorHAnsi"/>
          <w:sz w:val="22"/>
          <w:szCs w:val="22"/>
        </w:rPr>
        <w:t xml:space="preserve"> Hudson OH: Lexi-Comp [ser</w:t>
      </w:r>
      <w:r w:rsidR="00146CBE">
        <w:rPr>
          <w:rFonts w:asciiTheme="minorHAnsi" w:hAnsiTheme="minorHAnsi" w:cstheme="minorHAnsi"/>
          <w:sz w:val="22"/>
          <w:szCs w:val="22"/>
        </w:rPr>
        <w:t>ial online] 2009 [cited 2010 Oct</w:t>
      </w:r>
      <w:r w:rsidR="00B72313" w:rsidRPr="00922D3F">
        <w:rPr>
          <w:rFonts w:asciiTheme="minorHAnsi" w:hAnsiTheme="minorHAnsi" w:cstheme="minorHAnsi"/>
          <w:sz w:val="22"/>
          <w:szCs w:val="22"/>
        </w:rPr>
        <w:t xml:space="preserve"> 15] Available from: URL:</w:t>
      </w:r>
      <w:r w:rsidRPr="00922D3F">
        <w:rPr>
          <w:rFonts w:asciiTheme="minorHAnsi" w:hAnsiTheme="minorHAnsi" w:cstheme="minorHAnsi"/>
          <w:sz w:val="22"/>
          <w:szCs w:val="22"/>
        </w:rPr>
        <w:t xml:space="preserve"> </w:t>
      </w:r>
      <w:hyperlink r:id="rId7" w:history="1">
        <w:r w:rsidRPr="00922D3F">
          <w:rPr>
            <w:rStyle w:val="Hyperlink"/>
            <w:rFonts w:asciiTheme="minorHAnsi" w:hAnsiTheme="minorHAnsi" w:cstheme="minorHAnsi"/>
            <w:sz w:val="22"/>
            <w:szCs w:val="22"/>
          </w:rPr>
          <w:t>http://online.lexi.com/crlsql/servlet/crlonline</w:t>
        </w:r>
      </w:hyperlink>
    </w:p>
    <w:p w:rsidR="00D42675" w:rsidRPr="00652FCF" w:rsidRDefault="00F56F6D" w:rsidP="00922D3F">
      <w:pPr>
        <w:pStyle w:val="ListParagraph"/>
        <w:numPr>
          <w:ilvl w:val="0"/>
          <w:numId w:val="3"/>
        </w:numPr>
        <w:spacing w:before="100" w:beforeAutospacing="1" w:after="100" w:afterAutospacing="1" w:line="276" w:lineRule="auto"/>
        <w:jc w:val="both"/>
        <w:rPr>
          <w:rFonts w:asciiTheme="minorHAnsi" w:hAnsiTheme="minorHAnsi" w:cstheme="minorHAnsi"/>
          <w:sz w:val="22"/>
          <w:szCs w:val="22"/>
        </w:rPr>
      </w:pPr>
      <w:r>
        <w:rPr>
          <w:rFonts w:asciiTheme="minorHAnsi" w:hAnsiTheme="minorHAnsi" w:cstheme="minorHAnsi"/>
          <w:sz w:val="22"/>
          <w:szCs w:val="22"/>
        </w:rPr>
        <w:t>Amiodarone</w:t>
      </w:r>
      <w:r w:rsidR="004D0FC9" w:rsidRPr="00922D3F">
        <w:rPr>
          <w:rFonts w:asciiTheme="minorHAnsi" w:hAnsiTheme="minorHAnsi" w:cstheme="minorHAnsi"/>
          <w:sz w:val="22"/>
          <w:szCs w:val="22"/>
        </w:rPr>
        <w:t xml:space="preserve"> level. Lab tests and Diagnostic </w:t>
      </w:r>
      <w:r w:rsidR="00EC422D">
        <w:rPr>
          <w:rFonts w:asciiTheme="minorHAnsi" w:hAnsiTheme="minorHAnsi" w:cstheme="minorHAnsi"/>
          <w:sz w:val="22"/>
          <w:szCs w:val="22"/>
        </w:rPr>
        <w:t>Procedures. [serial online] 2010</w:t>
      </w:r>
      <w:r w:rsidR="00146CBE">
        <w:rPr>
          <w:rFonts w:asciiTheme="minorHAnsi" w:hAnsiTheme="minorHAnsi" w:cstheme="minorHAnsi"/>
          <w:sz w:val="22"/>
          <w:szCs w:val="22"/>
        </w:rPr>
        <w:t xml:space="preserve"> </w:t>
      </w:r>
      <w:r w:rsidR="00EC422D">
        <w:rPr>
          <w:rFonts w:asciiTheme="minorHAnsi" w:hAnsiTheme="minorHAnsi" w:cstheme="minorHAnsi"/>
          <w:sz w:val="22"/>
          <w:szCs w:val="22"/>
        </w:rPr>
        <w:t>Oct</w:t>
      </w:r>
      <w:r w:rsidR="00146CBE">
        <w:rPr>
          <w:rFonts w:asciiTheme="minorHAnsi" w:hAnsiTheme="minorHAnsi" w:cstheme="minorHAnsi"/>
          <w:sz w:val="22"/>
          <w:szCs w:val="22"/>
        </w:rPr>
        <w:t xml:space="preserve"> 15 [cited 2010 Oct </w:t>
      </w:r>
      <w:r w:rsidR="004D0FC9" w:rsidRPr="00922D3F">
        <w:rPr>
          <w:rFonts w:asciiTheme="minorHAnsi" w:hAnsiTheme="minorHAnsi" w:cstheme="minorHAnsi"/>
          <w:sz w:val="22"/>
          <w:szCs w:val="22"/>
        </w:rPr>
        <w:t xml:space="preserve">15] Available from: URL: </w:t>
      </w:r>
      <w:hyperlink r:id="rId8" w:history="1">
        <w:r w:rsidR="007B1AA7" w:rsidRPr="00922D3F">
          <w:rPr>
            <w:rStyle w:val="Hyperlink"/>
            <w:rFonts w:asciiTheme="minorHAnsi" w:hAnsiTheme="minorHAnsi" w:cstheme="minorHAnsi"/>
            <w:sz w:val="22"/>
            <w:szCs w:val="22"/>
          </w:rPr>
          <w:t>http://online.lexi.com/crlsql/servlet/crlonline?a=tox</w:t>
        </w:r>
      </w:hyperlink>
    </w:p>
    <w:p w:rsidR="00652FCF" w:rsidRPr="00EC422D" w:rsidRDefault="00EC422D" w:rsidP="00EC422D">
      <w:pPr>
        <w:pStyle w:val="ListParagraph"/>
        <w:numPr>
          <w:ilvl w:val="0"/>
          <w:numId w:val="3"/>
        </w:num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 xml:space="preserve">Petrarulo M, Pellegrino S, Mentasti E.  </w:t>
      </w:r>
      <w:r w:rsidRPr="00EC422D">
        <w:rPr>
          <w:rFonts w:asciiTheme="minorHAnsi" w:hAnsiTheme="minorHAnsi" w:cstheme="minorHAnsi"/>
          <w:sz w:val="22"/>
          <w:szCs w:val="22"/>
        </w:rPr>
        <w:t>Liquid-solid extraction and HPLC determination of amiodarone metabolites in biological fluids</w:t>
      </w:r>
      <w:r>
        <w:rPr>
          <w:rFonts w:asciiTheme="minorHAnsi" w:hAnsiTheme="minorHAnsi" w:cstheme="minorHAnsi"/>
          <w:sz w:val="22"/>
          <w:szCs w:val="22"/>
        </w:rPr>
        <w:t xml:space="preserve">. </w:t>
      </w:r>
      <w:r w:rsidR="00E26CAF">
        <w:rPr>
          <w:rFonts w:asciiTheme="minorHAnsi" w:hAnsiTheme="minorHAnsi" w:cstheme="minorHAnsi"/>
          <w:sz w:val="22"/>
          <w:szCs w:val="22"/>
        </w:rPr>
        <w:t>[</w:t>
      </w:r>
      <w:r>
        <w:rPr>
          <w:rFonts w:asciiTheme="minorHAnsi" w:hAnsiTheme="minorHAnsi" w:cstheme="minorHAnsi"/>
          <w:sz w:val="22"/>
          <w:szCs w:val="22"/>
        </w:rPr>
        <w:t xml:space="preserve">serial online] 2010 Oct 15 [cited 2010 Oct </w:t>
      </w:r>
      <w:r w:rsidRPr="00922D3F">
        <w:rPr>
          <w:rFonts w:asciiTheme="minorHAnsi" w:hAnsiTheme="minorHAnsi" w:cstheme="minorHAnsi"/>
          <w:sz w:val="22"/>
          <w:szCs w:val="22"/>
        </w:rPr>
        <w:t>15] Available from: URL:</w:t>
      </w:r>
      <w:hyperlink r:id="rId9" w:history="1">
        <w:r w:rsidR="00652FCF" w:rsidRPr="00EC422D">
          <w:rPr>
            <w:rStyle w:val="Hyperlink"/>
            <w:rFonts w:asciiTheme="minorHAnsi" w:hAnsiTheme="minorHAnsi" w:cstheme="minorHAnsi"/>
            <w:sz w:val="22"/>
            <w:szCs w:val="22"/>
          </w:rPr>
          <w:t>http://www.springerlink.com/content/211r52g0487370m8/</w:t>
        </w:r>
      </w:hyperlink>
    </w:p>
    <w:p w:rsidR="00C76D9D" w:rsidRDefault="00C76D9D" w:rsidP="00C76D9D">
      <w:pPr>
        <w:pStyle w:val="ListParagraph"/>
        <w:numPr>
          <w:ilvl w:val="0"/>
          <w:numId w:val="3"/>
        </w:num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Brien JF et al. Rapid high-performance liquid chromatographic analysis of amiodarone and N-desethyl-amiodarone in serum.</w:t>
      </w:r>
      <w:r w:rsidRPr="00C76D9D">
        <w:rPr>
          <w:rFonts w:asciiTheme="minorHAnsi" w:hAnsiTheme="minorHAnsi" w:cstheme="minorHAnsi"/>
          <w:sz w:val="22"/>
          <w:szCs w:val="22"/>
        </w:rPr>
        <w:t xml:space="preserve"> </w:t>
      </w:r>
      <w:r>
        <w:rPr>
          <w:rFonts w:asciiTheme="minorHAnsi" w:hAnsiTheme="minorHAnsi" w:cstheme="minorHAnsi"/>
          <w:sz w:val="22"/>
          <w:szCs w:val="22"/>
        </w:rPr>
        <w:t xml:space="preserve">[serial online] 2010 Oct 15 [cited 2010 Oct </w:t>
      </w:r>
      <w:r w:rsidRPr="00922D3F">
        <w:rPr>
          <w:rFonts w:asciiTheme="minorHAnsi" w:hAnsiTheme="minorHAnsi" w:cstheme="minorHAnsi"/>
          <w:sz w:val="22"/>
          <w:szCs w:val="22"/>
        </w:rPr>
        <w:t>15] Available from: URL:</w:t>
      </w:r>
      <w:r>
        <w:rPr>
          <w:rFonts w:asciiTheme="minorHAnsi" w:hAnsiTheme="minorHAnsi" w:cstheme="minorHAnsi"/>
          <w:sz w:val="22"/>
          <w:szCs w:val="22"/>
        </w:rPr>
        <w:t xml:space="preserve"> </w:t>
      </w:r>
      <w:hyperlink r:id="rId10" w:history="1">
        <w:r w:rsidRPr="009A132B">
          <w:rPr>
            <w:rStyle w:val="Hyperlink"/>
            <w:rFonts w:asciiTheme="minorHAnsi" w:hAnsiTheme="minorHAnsi" w:cstheme="minorHAnsi"/>
            <w:sz w:val="22"/>
            <w:szCs w:val="22"/>
          </w:rPr>
          <w:t>http://article.pubs.nrc-cnrc.gc.ca/ppv/RPViewDoc?issn=1205-7541&amp;volume=61&amp;issue=3&amp;startPage=245</w:t>
        </w:r>
      </w:hyperlink>
    </w:p>
    <w:p w:rsidR="00C76D9D" w:rsidRPr="00C76D9D" w:rsidRDefault="00C76D9D" w:rsidP="00C76D9D">
      <w:pPr>
        <w:pStyle w:val="ListParagraph"/>
        <w:spacing w:before="100" w:beforeAutospacing="1" w:after="100" w:afterAutospacing="1" w:line="276" w:lineRule="auto"/>
        <w:rPr>
          <w:rFonts w:asciiTheme="minorHAnsi" w:hAnsiTheme="minorHAnsi" w:cstheme="minorHAnsi"/>
          <w:sz w:val="22"/>
          <w:szCs w:val="22"/>
        </w:rPr>
      </w:pPr>
    </w:p>
    <w:sectPr w:rsidR="00C76D9D" w:rsidRPr="00C76D9D" w:rsidSect="000968B3">
      <w:head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2C7" w:rsidRDefault="004962C7" w:rsidP="00484360">
      <w:pPr>
        <w:spacing w:after="0" w:line="240" w:lineRule="auto"/>
      </w:pPr>
      <w:r>
        <w:separator/>
      </w:r>
    </w:p>
  </w:endnote>
  <w:endnote w:type="continuationSeparator" w:id="1">
    <w:p w:rsidR="004962C7" w:rsidRDefault="004962C7" w:rsidP="00484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2C7" w:rsidRDefault="004962C7" w:rsidP="00484360">
      <w:pPr>
        <w:spacing w:after="0" w:line="240" w:lineRule="auto"/>
      </w:pPr>
      <w:r>
        <w:separator/>
      </w:r>
    </w:p>
  </w:footnote>
  <w:footnote w:type="continuationSeparator" w:id="1">
    <w:p w:rsidR="004962C7" w:rsidRDefault="004962C7" w:rsidP="00484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5910"/>
      <w:docPartObj>
        <w:docPartGallery w:val="Page Numbers (Top of Page)"/>
        <w:docPartUnique/>
      </w:docPartObj>
    </w:sdtPr>
    <w:sdtContent>
      <w:p w:rsidR="00484360" w:rsidRDefault="00DD2DC9">
        <w:pPr>
          <w:pStyle w:val="Header"/>
          <w:jc w:val="right"/>
        </w:pPr>
        <w:fldSimple w:instr=" PAGE   \* MERGEFORMAT ">
          <w:r w:rsidR="00C76D9D">
            <w:rPr>
              <w:noProof/>
            </w:rPr>
            <w:t>3</w:t>
          </w:r>
        </w:fldSimple>
      </w:p>
    </w:sdtContent>
  </w:sdt>
  <w:p w:rsidR="00484360" w:rsidRDefault="00484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A72EA"/>
    <w:multiLevelType w:val="multilevel"/>
    <w:tmpl w:val="8542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D6F62"/>
    <w:multiLevelType w:val="hybridMultilevel"/>
    <w:tmpl w:val="8F7A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F3F31"/>
    <w:multiLevelType w:val="hybridMultilevel"/>
    <w:tmpl w:val="694E5C90"/>
    <w:lvl w:ilvl="0" w:tplc="53705D60">
      <w:start w:val="1"/>
      <w:numFmt w:val="bullet"/>
      <w:lvlText w:val=""/>
      <w:lvlJc w:val="left"/>
      <w:pPr>
        <w:tabs>
          <w:tab w:val="num" w:pos="720"/>
        </w:tabs>
        <w:ind w:left="720" w:hanging="360"/>
      </w:pPr>
      <w:rPr>
        <w:rFonts w:ascii="Wingdings 2" w:hAnsi="Wingdings 2" w:hint="default"/>
      </w:rPr>
    </w:lvl>
    <w:lvl w:ilvl="1" w:tplc="81CCDA2A" w:tentative="1">
      <w:start w:val="1"/>
      <w:numFmt w:val="bullet"/>
      <w:lvlText w:val=""/>
      <w:lvlJc w:val="left"/>
      <w:pPr>
        <w:tabs>
          <w:tab w:val="num" w:pos="1440"/>
        </w:tabs>
        <w:ind w:left="1440" w:hanging="360"/>
      </w:pPr>
      <w:rPr>
        <w:rFonts w:ascii="Wingdings 2" w:hAnsi="Wingdings 2" w:hint="default"/>
      </w:rPr>
    </w:lvl>
    <w:lvl w:ilvl="2" w:tplc="18722D24" w:tentative="1">
      <w:start w:val="1"/>
      <w:numFmt w:val="bullet"/>
      <w:lvlText w:val=""/>
      <w:lvlJc w:val="left"/>
      <w:pPr>
        <w:tabs>
          <w:tab w:val="num" w:pos="2160"/>
        </w:tabs>
        <w:ind w:left="2160" w:hanging="360"/>
      </w:pPr>
      <w:rPr>
        <w:rFonts w:ascii="Wingdings 2" w:hAnsi="Wingdings 2" w:hint="default"/>
      </w:rPr>
    </w:lvl>
    <w:lvl w:ilvl="3" w:tplc="25F0E298" w:tentative="1">
      <w:start w:val="1"/>
      <w:numFmt w:val="bullet"/>
      <w:lvlText w:val=""/>
      <w:lvlJc w:val="left"/>
      <w:pPr>
        <w:tabs>
          <w:tab w:val="num" w:pos="2880"/>
        </w:tabs>
        <w:ind w:left="2880" w:hanging="360"/>
      </w:pPr>
      <w:rPr>
        <w:rFonts w:ascii="Wingdings 2" w:hAnsi="Wingdings 2" w:hint="default"/>
      </w:rPr>
    </w:lvl>
    <w:lvl w:ilvl="4" w:tplc="7DE42454" w:tentative="1">
      <w:start w:val="1"/>
      <w:numFmt w:val="bullet"/>
      <w:lvlText w:val=""/>
      <w:lvlJc w:val="left"/>
      <w:pPr>
        <w:tabs>
          <w:tab w:val="num" w:pos="3600"/>
        </w:tabs>
        <w:ind w:left="3600" w:hanging="360"/>
      </w:pPr>
      <w:rPr>
        <w:rFonts w:ascii="Wingdings 2" w:hAnsi="Wingdings 2" w:hint="default"/>
      </w:rPr>
    </w:lvl>
    <w:lvl w:ilvl="5" w:tplc="22BAA04C" w:tentative="1">
      <w:start w:val="1"/>
      <w:numFmt w:val="bullet"/>
      <w:lvlText w:val=""/>
      <w:lvlJc w:val="left"/>
      <w:pPr>
        <w:tabs>
          <w:tab w:val="num" w:pos="4320"/>
        </w:tabs>
        <w:ind w:left="4320" w:hanging="360"/>
      </w:pPr>
      <w:rPr>
        <w:rFonts w:ascii="Wingdings 2" w:hAnsi="Wingdings 2" w:hint="default"/>
      </w:rPr>
    </w:lvl>
    <w:lvl w:ilvl="6" w:tplc="F4E6BFDA" w:tentative="1">
      <w:start w:val="1"/>
      <w:numFmt w:val="bullet"/>
      <w:lvlText w:val=""/>
      <w:lvlJc w:val="left"/>
      <w:pPr>
        <w:tabs>
          <w:tab w:val="num" w:pos="5040"/>
        </w:tabs>
        <w:ind w:left="5040" w:hanging="360"/>
      </w:pPr>
      <w:rPr>
        <w:rFonts w:ascii="Wingdings 2" w:hAnsi="Wingdings 2" w:hint="default"/>
      </w:rPr>
    </w:lvl>
    <w:lvl w:ilvl="7" w:tplc="AD44B99C" w:tentative="1">
      <w:start w:val="1"/>
      <w:numFmt w:val="bullet"/>
      <w:lvlText w:val=""/>
      <w:lvlJc w:val="left"/>
      <w:pPr>
        <w:tabs>
          <w:tab w:val="num" w:pos="5760"/>
        </w:tabs>
        <w:ind w:left="5760" w:hanging="360"/>
      </w:pPr>
      <w:rPr>
        <w:rFonts w:ascii="Wingdings 2" w:hAnsi="Wingdings 2" w:hint="default"/>
      </w:rPr>
    </w:lvl>
    <w:lvl w:ilvl="8" w:tplc="37262288" w:tentative="1">
      <w:start w:val="1"/>
      <w:numFmt w:val="bullet"/>
      <w:lvlText w:val=""/>
      <w:lvlJc w:val="left"/>
      <w:pPr>
        <w:tabs>
          <w:tab w:val="num" w:pos="6480"/>
        </w:tabs>
        <w:ind w:left="6480" w:hanging="360"/>
      </w:pPr>
      <w:rPr>
        <w:rFonts w:ascii="Wingdings 2" w:hAnsi="Wingdings 2" w:hint="default"/>
      </w:rPr>
    </w:lvl>
  </w:abstractNum>
  <w:abstractNum w:abstractNumId="3">
    <w:nsid w:val="5EA93C1F"/>
    <w:multiLevelType w:val="hybridMultilevel"/>
    <w:tmpl w:val="545A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C642D0"/>
    <w:rsid w:val="00034146"/>
    <w:rsid w:val="00077B2A"/>
    <w:rsid w:val="000968B3"/>
    <w:rsid w:val="00096C7E"/>
    <w:rsid w:val="000B5629"/>
    <w:rsid w:val="000C18AF"/>
    <w:rsid w:val="001463C9"/>
    <w:rsid w:val="00146CBE"/>
    <w:rsid w:val="00212641"/>
    <w:rsid w:val="00227765"/>
    <w:rsid w:val="00250CE2"/>
    <w:rsid w:val="00285FCE"/>
    <w:rsid w:val="002B1B8F"/>
    <w:rsid w:val="002D2AC8"/>
    <w:rsid w:val="002D2BD0"/>
    <w:rsid w:val="002D7573"/>
    <w:rsid w:val="002F7C58"/>
    <w:rsid w:val="003218BD"/>
    <w:rsid w:val="00324B62"/>
    <w:rsid w:val="0033764E"/>
    <w:rsid w:val="00352B18"/>
    <w:rsid w:val="00371235"/>
    <w:rsid w:val="00373381"/>
    <w:rsid w:val="00391B83"/>
    <w:rsid w:val="003C5944"/>
    <w:rsid w:val="003D04A0"/>
    <w:rsid w:val="003F1623"/>
    <w:rsid w:val="003F4C94"/>
    <w:rsid w:val="00445297"/>
    <w:rsid w:val="00484360"/>
    <w:rsid w:val="004962C7"/>
    <w:rsid w:val="004C6C0A"/>
    <w:rsid w:val="004D0FC9"/>
    <w:rsid w:val="004F1BD7"/>
    <w:rsid w:val="00501AF5"/>
    <w:rsid w:val="00535FAD"/>
    <w:rsid w:val="00555FDF"/>
    <w:rsid w:val="005B452E"/>
    <w:rsid w:val="005D01DF"/>
    <w:rsid w:val="005F680F"/>
    <w:rsid w:val="005F6C44"/>
    <w:rsid w:val="0062316D"/>
    <w:rsid w:val="00652FCF"/>
    <w:rsid w:val="00661A55"/>
    <w:rsid w:val="006633F6"/>
    <w:rsid w:val="006831CB"/>
    <w:rsid w:val="006C7BB8"/>
    <w:rsid w:val="00712A9A"/>
    <w:rsid w:val="00773A02"/>
    <w:rsid w:val="007A4BB2"/>
    <w:rsid w:val="007B1AA7"/>
    <w:rsid w:val="007B631A"/>
    <w:rsid w:val="00817636"/>
    <w:rsid w:val="00835D61"/>
    <w:rsid w:val="00841D45"/>
    <w:rsid w:val="008D2818"/>
    <w:rsid w:val="00903D5E"/>
    <w:rsid w:val="00922D3F"/>
    <w:rsid w:val="00970574"/>
    <w:rsid w:val="00987B3F"/>
    <w:rsid w:val="009910BE"/>
    <w:rsid w:val="009B329F"/>
    <w:rsid w:val="009C5A29"/>
    <w:rsid w:val="00AE3E77"/>
    <w:rsid w:val="00B0599E"/>
    <w:rsid w:val="00B06FD7"/>
    <w:rsid w:val="00B3791A"/>
    <w:rsid w:val="00B72313"/>
    <w:rsid w:val="00B97DC8"/>
    <w:rsid w:val="00BB08A2"/>
    <w:rsid w:val="00BE10B6"/>
    <w:rsid w:val="00BF10D2"/>
    <w:rsid w:val="00C31BEF"/>
    <w:rsid w:val="00C642D0"/>
    <w:rsid w:val="00C64694"/>
    <w:rsid w:val="00C76D9D"/>
    <w:rsid w:val="00C914AB"/>
    <w:rsid w:val="00C9607D"/>
    <w:rsid w:val="00CB53AC"/>
    <w:rsid w:val="00CB70AD"/>
    <w:rsid w:val="00D05AF8"/>
    <w:rsid w:val="00D175C8"/>
    <w:rsid w:val="00D211FD"/>
    <w:rsid w:val="00D30A3D"/>
    <w:rsid w:val="00D42675"/>
    <w:rsid w:val="00D81355"/>
    <w:rsid w:val="00DA60F5"/>
    <w:rsid w:val="00DD1795"/>
    <w:rsid w:val="00DD2DC9"/>
    <w:rsid w:val="00E078B0"/>
    <w:rsid w:val="00E12010"/>
    <w:rsid w:val="00E26CAF"/>
    <w:rsid w:val="00E276C9"/>
    <w:rsid w:val="00E81B03"/>
    <w:rsid w:val="00E82EDF"/>
    <w:rsid w:val="00E94531"/>
    <w:rsid w:val="00EA40A2"/>
    <w:rsid w:val="00EC422D"/>
    <w:rsid w:val="00ED6A17"/>
    <w:rsid w:val="00EF692D"/>
    <w:rsid w:val="00F17309"/>
    <w:rsid w:val="00F440BE"/>
    <w:rsid w:val="00F56F6D"/>
    <w:rsid w:val="00F71FAA"/>
    <w:rsid w:val="00F93959"/>
    <w:rsid w:val="00FC1E11"/>
    <w:rsid w:val="00FC3756"/>
    <w:rsid w:val="00FF0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B3"/>
  </w:style>
  <w:style w:type="paragraph" w:styleId="Heading1">
    <w:name w:val="heading 1"/>
    <w:basedOn w:val="Normal"/>
    <w:next w:val="Normal"/>
    <w:link w:val="Heading1Char"/>
    <w:uiPriority w:val="9"/>
    <w:qFormat/>
    <w:rsid w:val="00EC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D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6C0A"/>
    <w:pPr>
      <w:spacing w:after="0" w:line="240" w:lineRule="auto"/>
      <w:ind w:left="720"/>
      <w:contextualSpacing/>
    </w:pPr>
    <w:rPr>
      <w:rFonts w:ascii="Times New Roman" w:eastAsia="Times New Roman" w:hAnsi="Times New Roman" w:cs="Times New Roman"/>
      <w:sz w:val="24"/>
      <w:szCs w:val="24"/>
      <w:lang w:val="en-IN" w:eastAsia="en-IN"/>
    </w:rPr>
  </w:style>
  <w:style w:type="table" w:styleId="TableGrid">
    <w:name w:val="Table Grid"/>
    <w:basedOn w:val="TableNormal"/>
    <w:uiPriority w:val="59"/>
    <w:rsid w:val="004C6C0A"/>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bels">
    <w:name w:val="labels"/>
    <w:basedOn w:val="DefaultParagraphFont"/>
    <w:rsid w:val="00B06FD7"/>
  </w:style>
  <w:style w:type="paragraph" w:styleId="NormalWeb">
    <w:name w:val="Normal (Web)"/>
    <w:basedOn w:val="Normal"/>
    <w:uiPriority w:val="99"/>
    <w:semiHidden/>
    <w:unhideWhenUsed/>
    <w:rsid w:val="00B06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D7"/>
    <w:rPr>
      <w:rFonts w:ascii="Tahoma" w:hAnsi="Tahoma" w:cs="Tahoma"/>
      <w:sz w:val="16"/>
      <w:szCs w:val="16"/>
    </w:rPr>
  </w:style>
  <w:style w:type="character" w:styleId="Hyperlink">
    <w:name w:val="Hyperlink"/>
    <w:basedOn w:val="DefaultParagraphFont"/>
    <w:uiPriority w:val="99"/>
    <w:unhideWhenUsed/>
    <w:rsid w:val="007B1AA7"/>
    <w:rPr>
      <w:color w:val="0000FF" w:themeColor="hyperlink"/>
      <w:u w:val="single"/>
    </w:rPr>
  </w:style>
  <w:style w:type="paragraph" w:styleId="Header">
    <w:name w:val="header"/>
    <w:basedOn w:val="Normal"/>
    <w:link w:val="HeaderChar"/>
    <w:uiPriority w:val="99"/>
    <w:unhideWhenUsed/>
    <w:rsid w:val="00484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360"/>
  </w:style>
  <w:style w:type="paragraph" w:styleId="Footer">
    <w:name w:val="footer"/>
    <w:basedOn w:val="Normal"/>
    <w:link w:val="FooterChar"/>
    <w:uiPriority w:val="99"/>
    <w:semiHidden/>
    <w:unhideWhenUsed/>
    <w:rsid w:val="004843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4360"/>
  </w:style>
  <w:style w:type="character" w:customStyle="1" w:styleId="Heading1Char">
    <w:name w:val="Heading 1 Char"/>
    <w:basedOn w:val="DefaultParagraphFont"/>
    <w:link w:val="Heading1"/>
    <w:uiPriority w:val="9"/>
    <w:rsid w:val="00EC42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63486">
      <w:bodyDiv w:val="1"/>
      <w:marLeft w:val="0"/>
      <w:marRight w:val="0"/>
      <w:marTop w:val="0"/>
      <w:marBottom w:val="0"/>
      <w:divBdr>
        <w:top w:val="none" w:sz="0" w:space="0" w:color="auto"/>
        <w:left w:val="none" w:sz="0" w:space="0" w:color="auto"/>
        <w:bottom w:val="none" w:sz="0" w:space="0" w:color="auto"/>
        <w:right w:val="none" w:sz="0" w:space="0" w:color="auto"/>
      </w:divBdr>
      <w:divsChild>
        <w:div w:id="379936043">
          <w:marLeft w:val="0"/>
          <w:marRight w:val="0"/>
          <w:marTop w:val="0"/>
          <w:marBottom w:val="0"/>
          <w:divBdr>
            <w:top w:val="none" w:sz="0" w:space="0" w:color="auto"/>
            <w:left w:val="none" w:sz="0" w:space="0" w:color="auto"/>
            <w:bottom w:val="none" w:sz="0" w:space="0" w:color="auto"/>
            <w:right w:val="none" w:sz="0" w:space="0" w:color="auto"/>
          </w:divBdr>
        </w:div>
        <w:div w:id="1801727172">
          <w:marLeft w:val="0"/>
          <w:marRight w:val="0"/>
          <w:marTop w:val="0"/>
          <w:marBottom w:val="0"/>
          <w:divBdr>
            <w:top w:val="none" w:sz="0" w:space="0" w:color="auto"/>
            <w:left w:val="none" w:sz="0" w:space="0" w:color="auto"/>
            <w:bottom w:val="none" w:sz="0" w:space="0" w:color="auto"/>
            <w:right w:val="none" w:sz="0" w:space="0" w:color="auto"/>
          </w:divBdr>
        </w:div>
      </w:divsChild>
    </w:div>
    <w:div w:id="17437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exi.com/crlsql/servlet/crlonline?a=to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lexi.com/crlsql/servlet/crlo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rticle.pubs.nrc-cnrc.gc.ca/ppv/RPViewDoc?issn=1205-7541&amp;volume=61&amp;issue=3&amp;startPage=245" TargetMode="External"/><Relationship Id="rId4" Type="http://schemas.openxmlformats.org/officeDocument/2006/relationships/webSettings" Target="webSettings.xml"/><Relationship Id="rId9" Type="http://schemas.openxmlformats.org/officeDocument/2006/relationships/hyperlink" Target="http://www.springerlink.com/content/211r52g0487370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Krunal</dc:creator>
  <cp:keywords/>
  <dc:description/>
  <cp:lastModifiedBy>Krunal</cp:lastModifiedBy>
  <cp:revision>88</cp:revision>
  <dcterms:created xsi:type="dcterms:W3CDTF">2010-09-19T13:35:00Z</dcterms:created>
  <dcterms:modified xsi:type="dcterms:W3CDTF">2011-01-10T03:45:00Z</dcterms:modified>
</cp:coreProperties>
</file>